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B193" w14:textId="1473D0F7" w:rsidR="00880415" w:rsidRPr="00526894" w:rsidRDefault="00880415" w:rsidP="00384583">
      <w:pPr>
        <w:spacing w:before="120" w:line="360" w:lineRule="auto"/>
        <w:ind w:left="5529"/>
        <w:rPr>
          <w:rFonts w:ascii="Arial" w:hAnsi="Arial" w:cs="Arial"/>
        </w:rPr>
      </w:pPr>
      <w:r w:rsidRPr="00526894">
        <w:rPr>
          <w:rFonts w:ascii="Arial" w:hAnsi="Arial" w:cs="Arial"/>
        </w:rPr>
        <w:t>Warszawa</w:t>
      </w:r>
      <w:r w:rsidR="00534F91">
        <w:rPr>
          <w:rFonts w:ascii="Arial" w:hAnsi="Arial" w:cs="Arial"/>
        </w:rPr>
        <w:t>,</w:t>
      </w:r>
      <w:r w:rsidR="005E645A">
        <w:rPr>
          <w:rFonts w:ascii="Arial" w:hAnsi="Arial" w:cs="Arial"/>
        </w:rPr>
        <w:t xml:space="preserve"> </w:t>
      </w:r>
      <w:r w:rsidR="000303D5">
        <w:rPr>
          <w:rFonts w:ascii="Arial" w:hAnsi="Arial" w:cs="Arial"/>
        </w:rPr>
        <w:t xml:space="preserve">5 </w:t>
      </w:r>
      <w:r w:rsidR="000F3CBB">
        <w:rPr>
          <w:rFonts w:ascii="Arial" w:hAnsi="Arial" w:cs="Arial"/>
        </w:rPr>
        <w:t xml:space="preserve">stycznia </w:t>
      </w:r>
      <w:r w:rsidR="00777A03" w:rsidRPr="00526894">
        <w:rPr>
          <w:rFonts w:ascii="Arial" w:hAnsi="Arial" w:cs="Arial"/>
        </w:rPr>
        <w:t>202</w:t>
      </w:r>
      <w:r w:rsidR="000F3CBB">
        <w:rPr>
          <w:rFonts w:ascii="Arial" w:hAnsi="Arial" w:cs="Arial"/>
        </w:rPr>
        <w:t>2</w:t>
      </w:r>
      <w:r w:rsidRPr="00526894">
        <w:rPr>
          <w:rFonts w:ascii="Arial" w:hAnsi="Arial" w:cs="Arial"/>
        </w:rPr>
        <w:t xml:space="preserve"> r.</w:t>
      </w:r>
    </w:p>
    <w:p w14:paraId="71C52566" w14:textId="56D0FD9E" w:rsidR="00880415" w:rsidRPr="00E27686" w:rsidRDefault="00E27686" w:rsidP="00E27686">
      <w:pPr>
        <w:keepNext/>
        <w:spacing w:line="360" w:lineRule="auto"/>
        <w:ind w:left="-284"/>
        <w:outlineLvl w:val="5"/>
        <w:rPr>
          <w:rFonts w:ascii="Arial" w:eastAsia="Times New Roman" w:hAnsi="Arial" w:cs="Arial"/>
        </w:rPr>
      </w:pPr>
      <w:r w:rsidRPr="00E27686">
        <w:rPr>
          <w:rFonts w:ascii="Arial" w:eastAsia="Times New Roman" w:hAnsi="Arial" w:cs="Arial"/>
        </w:rPr>
        <w:t>BAS-WA</w:t>
      </w:r>
      <w:r w:rsidR="00A712C9">
        <w:rPr>
          <w:rFonts w:ascii="Arial" w:eastAsia="Times New Roman" w:hAnsi="Arial" w:cs="Arial"/>
        </w:rPr>
        <w:t>SiE</w:t>
      </w:r>
      <w:r w:rsidRPr="00E27686">
        <w:rPr>
          <w:rFonts w:ascii="Arial" w:eastAsia="Times New Roman" w:hAnsi="Arial" w:cs="Arial"/>
        </w:rPr>
        <w:t>/WAP</w:t>
      </w:r>
      <w:r w:rsidR="000F3CBB">
        <w:rPr>
          <w:rFonts w:ascii="Arial" w:eastAsia="Times New Roman" w:hAnsi="Arial" w:cs="Arial"/>
        </w:rPr>
        <w:t>Ei</w:t>
      </w:r>
      <w:r w:rsidRPr="00E27686">
        <w:rPr>
          <w:rFonts w:ascii="Arial" w:eastAsia="Times New Roman" w:hAnsi="Arial" w:cs="Arial"/>
        </w:rPr>
        <w:t>M-</w:t>
      </w:r>
      <w:r w:rsidR="005E645A" w:rsidRPr="005E645A">
        <w:rPr>
          <w:rFonts w:ascii="Arial" w:eastAsia="Times New Roman" w:hAnsi="Arial" w:cs="Arial"/>
        </w:rPr>
        <w:t>2708</w:t>
      </w:r>
      <w:r w:rsidRPr="00E27686">
        <w:rPr>
          <w:rFonts w:ascii="Arial" w:eastAsia="Times New Roman" w:hAnsi="Arial" w:cs="Arial"/>
        </w:rPr>
        <w:t>/2</w:t>
      </w:r>
      <w:r w:rsidR="000F3CBB">
        <w:rPr>
          <w:rFonts w:ascii="Arial" w:eastAsia="Times New Roman" w:hAnsi="Arial" w:cs="Arial"/>
        </w:rPr>
        <w:t>1</w:t>
      </w:r>
    </w:p>
    <w:p w14:paraId="3338A175" w14:textId="77777777" w:rsidR="008C7C9D" w:rsidRPr="00526894" w:rsidRDefault="008C7C9D" w:rsidP="00C24256">
      <w:pPr>
        <w:spacing w:line="360" w:lineRule="auto"/>
        <w:ind w:left="5529" w:firstLine="5"/>
        <w:rPr>
          <w:rFonts w:ascii="Arial" w:hAnsi="Arial" w:cs="Arial"/>
        </w:rPr>
      </w:pPr>
    </w:p>
    <w:p w14:paraId="1B149AE3" w14:textId="39228247" w:rsidR="0002741D" w:rsidRPr="00526894" w:rsidRDefault="0002741D" w:rsidP="00384583">
      <w:pPr>
        <w:spacing w:line="360" w:lineRule="auto"/>
        <w:ind w:left="5529" w:firstLine="5"/>
        <w:rPr>
          <w:rFonts w:ascii="Arial" w:hAnsi="Arial" w:cs="Arial"/>
        </w:rPr>
      </w:pPr>
    </w:p>
    <w:p w14:paraId="0086BBC7" w14:textId="77777777" w:rsidR="007D775A" w:rsidRPr="00526894" w:rsidRDefault="007D775A" w:rsidP="00384583">
      <w:pPr>
        <w:spacing w:line="360" w:lineRule="auto"/>
        <w:ind w:left="5529" w:firstLine="5"/>
        <w:rPr>
          <w:rFonts w:ascii="Arial" w:hAnsi="Arial" w:cs="Arial"/>
        </w:rPr>
      </w:pPr>
      <w:r w:rsidRPr="00526894">
        <w:rPr>
          <w:rFonts w:ascii="Arial" w:hAnsi="Arial" w:cs="Arial"/>
        </w:rPr>
        <w:t>Przewodnicząc</w:t>
      </w:r>
      <w:r w:rsidR="005A4847" w:rsidRPr="00526894">
        <w:rPr>
          <w:rFonts w:ascii="Arial" w:hAnsi="Arial" w:cs="Arial"/>
        </w:rPr>
        <w:t>y</w:t>
      </w:r>
      <w:r w:rsidRPr="00526894">
        <w:rPr>
          <w:rFonts w:ascii="Arial" w:hAnsi="Arial" w:cs="Arial"/>
        </w:rPr>
        <w:t xml:space="preserve"> Komisji</w:t>
      </w:r>
    </w:p>
    <w:p w14:paraId="4BDE7571" w14:textId="77777777" w:rsidR="00AD67A8" w:rsidRPr="00526894" w:rsidRDefault="007D775A" w:rsidP="00384583">
      <w:pPr>
        <w:spacing w:line="360" w:lineRule="auto"/>
        <w:ind w:left="5529" w:firstLine="5"/>
        <w:rPr>
          <w:rFonts w:ascii="Arial" w:hAnsi="Arial" w:cs="Arial"/>
        </w:rPr>
      </w:pPr>
      <w:r w:rsidRPr="00526894">
        <w:rPr>
          <w:rFonts w:ascii="Arial" w:hAnsi="Arial" w:cs="Arial"/>
        </w:rPr>
        <w:t>do Spraw Unii Europejskiej</w:t>
      </w:r>
    </w:p>
    <w:p w14:paraId="304C5A14" w14:textId="77777777" w:rsidR="0078628A" w:rsidRPr="00526894" w:rsidRDefault="0078628A" w:rsidP="00880415">
      <w:pPr>
        <w:rPr>
          <w:rFonts w:ascii="Arial" w:hAnsi="Arial" w:cs="Arial"/>
        </w:rPr>
      </w:pPr>
    </w:p>
    <w:p w14:paraId="7C287107" w14:textId="77777777" w:rsidR="008C7C9D" w:rsidRPr="00526894" w:rsidRDefault="008C7C9D" w:rsidP="00880415">
      <w:pPr>
        <w:rPr>
          <w:rFonts w:ascii="Arial" w:hAnsi="Arial" w:cs="Arial"/>
        </w:rPr>
      </w:pPr>
    </w:p>
    <w:p w14:paraId="5F2EC44E" w14:textId="1C2305D3" w:rsidR="006563CD" w:rsidRPr="00526894" w:rsidRDefault="00B5291B" w:rsidP="00A712C9">
      <w:pPr>
        <w:spacing w:line="360" w:lineRule="auto"/>
        <w:jc w:val="center"/>
        <w:rPr>
          <w:rFonts w:ascii="Arial" w:hAnsi="Arial" w:cs="Arial"/>
        </w:rPr>
      </w:pPr>
      <w:r w:rsidRPr="00B5291B">
        <w:rPr>
          <w:rFonts w:ascii="Arial" w:hAnsi="Arial" w:cs="Arial"/>
          <w:b/>
          <w:bCs/>
        </w:rPr>
        <w:t xml:space="preserve">Opinia w sprawie </w:t>
      </w:r>
      <w:r w:rsidR="00A712C9" w:rsidRPr="00A712C9">
        <w:rPr>
          <w:rFonts w:ascii="Arial" w:hAnsi="Arial" w:cs="Arial"/>
          <w:b/>
          <w:bCs/>
        </w:rPr>
        <w:t>komunikatu Komisji do Parlamentu Europejskiego,</w:t>
      </w:r>
      <w:r w:rsidR="005E645A">
        <w:rPr>
          <w:rFonts w:ascii="Arial" w:hAnsi="Arial" w:cs="Arial"/>
          <w:b/>
          <w:bCs/>
        </w:rPr>
        <w:t xml:space="preserve"> </w:t>
      </w:r>
      <w:r w:rsidR="00A712C9" w:rsidRPr="00A712C9">
        <w:rPr>
          <w:rFonts w:ascii="Arial" w:hAnsi="Arial" w:cs="Arial"/>
          <w:b/>
          <w:bCs/>
        </w:rPr>
        <w:t>Rady Europejskiej, Rady, Europejskiego Komitetu Ekonomiczno-Społecznego i</w:t>
      </w:r>
      <w:r w:rsidR="00A712C9">
        <w:rPr>
          <w:rFonts w:ascii="Arial" w:hAnsi="Arial" w:cs="Arial"/>
          <w:b/>
          <w:bCs/>
        </w:rPr>
        <w:t> </w:t>
      </w:r>
      <w:r w:rsidR="00A712C9" w:rsidRPr="00A712C9">
        <w:rPr>
          <w:rFonts w:ascii="Arial" w:hAnsi="Arial" w:cs="Arial"/>
          <w:b/>
          <w:bCs/>
        </w:rPr>
        <w:t>Komitetu Regionów: Reakcja na rosnące ceny energii: zestaw działań i</w:t>
      </w:r>
      <w:r w:rsidR="00A712C9">
        <w:rPr>
          <w:rFonts w:ascii="Arial" w:hAnsi="Arial" w:cs="Arial"/>
          <w:b/>
          <w:bCs/>
        </w:rPr>
        <w:t> </w:t>
      </w:r>
      <w:r w:rsidR="00A712C9" w:rsidRPr="00A712C9">
        <w:rPr>
          <w:rFonts w:ascii="Arial" w:hAnsi="Arial" w:cs="Arial"/>
          <w:b/>
          <w:bCs/>
        </w:rPr>
        <w:t>środków wsparcia (COM(2021) 660 final)</w:t>
      </w:r>
    </w:p>
    <w:p w14:paraId="0E65FD3F" w14:textId="77777777" w:rsidR="009530D6" w:rsidRDefault="009530D6" w:rsidP="001C2C01">
      <w:pPr>
        <w:spacing w:line="360" w:lineRule="auto"/>
        <w:ind w:firstLine="851"/>
        <w:jc w:val="both"/>
        <w:rPr>
          <w:rFonts w:ascii="Arial" w:hAnsi="Arial" w:cs="Arial"/>
          <w:b/>
        </w:rPr>
      </w:pPr>
    </w:p>
    <w:p w14:paraId="172F87E9" w14:textId="77777777" w:rsidR="009530D6" w:rsidRDefault="009530D6" w:rsidP="001C2C01">
      <w:pPr>
        <w:spacing w:line="360" w:lineRule="auto"/>
        <w:ind w:firstLine="851"/>
        <w:jc w:val="both"/>
        <w:rPr>
          <w:rFonts w:ascii="Arial" w:hAnsi="Arial" w:cs="Arial"/>
          <w:b/>
        </w:rPr>
      </w:pPr>
    </w:p>
    <w:p w14:paraId="202DCC1D" w14:textId="79B10591" w:rsidR="007D775A" w:rsidRPr="00526894" w:rsidRDefault="007D775A" w:rsidP="001C2C01">
      <w:pPr>
        <w:spacing w:line="360" w:lineRule="auto"/>
        <w:ind w:firstLine="851"/>
        <w:jc w:val="both"/>
        <w:rPr>
          <w:rFonts w:ascii="Arial" w:hAnsi="Arial" w:cs="Arial"/>
          <w:b/>
        </w:rPr>
      </w:pPr>
      <w:r w:rsidRPr="00526894">
        <w:rPr>
          <w:rFonts w:ascii="Arial" w:hAnsi="Arial" w:cs="Arial"/>
          <w:b/>
        </w:rPr>
        <w:t>I. Opinia merytoryczna</w:t>
      </w:r>
    </w:p>
    <w:p w14:paraId="17FC3DF8" w14:textId="77777777" w:rsidR="0041692C" w:rsidRPr="00526894" w:rsidRDefault="0041692C" w:rsidP="001C2C01">
      <w:pPr>
        <w:spacing w:line="360" w:lineRule="auto"/>
        <w:ind w:firstLine="851"/>
        <w:jc w:val="both"/>
        <w:rPr>
          <w:rFonts w:ascii="Arial" w:hAnsi="Arial" w:cs="Arial"/>
          <w:b/>
        </w:rPr>
      </w:pPr>
      <w:r w:rsidRPr="00526894">
        <w:rPr>
          <w:rFonts w:ascii="Arial" w:hAnsi="Arial" w:cs="Arial"/>
          <w:b/>
        </w:rPr>
        <w:t>1. Przedmiot dokument</w:t>
      </w:r>
      <w:r w:rsidR="0094614B" w:rsidRPr="00526894">
        <w:rPr>
          <w:rFonts w:ascii="Arial" w:hAnsi="Arial" w:cs="Arial"/>
          <w:b/>
        </w:rPr>
        <w:t>u</w:t>
      </w:r>
      <w:r w:rsidRPr="00526894">
        <w:rPr>
          <w:rFonts w:ascii="Arial" w:hAnsi="Arial" w:cs="Arial"/>
          <w:b/>
        </w:rPr>
        <w:t xml:space="preserve"> UE</w:t>
      </w:r>
    </w:p>
    <w:p w14:paraId="42E206DF" w14:textId="2BE50048" w:rsidR="00B7758D" w:rsidRPr="00526894" w:rsidRDefault="0041692C" w:rsidP="001C2C01">
      <w:pPr>
        <w:spacing w:line="360" w:lineRule="auto"/>
        <w:ind w:firstLine="851"/>
        <w:jc w:val="both"/>
        <w:rPr>
          <w:rFonts w:ascii="Arial" w:hAnsi="Arial" w:cs="Arial"/>
          <w:b/>
        </w:rPr>
      </w:pPr>
      <w:r w:rsidRPr="00526894">
        <w:rPr>
          <w:rFonts w:ascii="Arial" w:hAnsi="Arial" w:cs="Arial"/>
          <w:b/>
        </w:rPr>
        <w:t xml:space="preserve">a) </w:t>
      </w:r>
      <w:r w:rsidR="000303D5">
        <w:rPr>
          <w:rFonts w:ascii="Arial" w:hAnsi="Arial" w:cs="Arial"/>
          <w:b/>
        </w:rPr>
        <w:t xml:space="preserve">cel i </w:t>
      </w:r>
      <w:r w:rsidRPr="00526894">
        <w:rPr>
          <w:rFonts w:ascii="Arial" w:hAnsi="Arial" w:cs="Arial"/>
          <w:b/>
        </w:rPr>
        <w:t>treść dokument</w:t>
      </w:r>
      <w:r w:rsidR="0094614B" w:rsidRPr="00526894">
        <w:rPr>
          <w:rFonts w:ascii="Arial" w:hAnsi="Arial" w:cs="Arial"/>
          <w:b/>
        </w:rPr>
        <w:t>u</w:t>
      </w:r>
      <w:r w:rsidRPr="00526894">
        <w:rPr>
          <w:rFonts w:ascii="Arial" w:hAnsi="Arial" w:cs="Arial"/>
          <w:b/>
        </w:rPr>
        <w:t xml:space="preserve"> UE</w:t>
      </w:r>
    </w:p>
    <w:p w14:paraId="6466C983" w14:textId="77777777"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Przedstawiony komunikat zawiera diagnozę przyczyn gwałtownego wzrostu cen energii, a także propozycje wprowadzenia i wsparcia właściwych środków w celu złagodzenia podwyżek cen energii. Z treści komunikatu wynika, że:</w:t>
      </w:r>
    </w:p>
    <w:p w14:paraId="564DA3CB" w14:textId="3DD1B265" w:rsidR="000303D5" w:rsidRPr="000303D5" w:rsidRDefault="000303D5"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P</w:t>
      </w:r>
      <w:r w:rsidRPr="000303D5">
        <w:rPr>
          <w:rFonts w:ascii="Arial" w:hAnsi="Arial" w:cs="Arial"/>
        </w:rPr>
        <w:t xml:space="preserve">o spadku cen energii w 2019 r. i 2020 r. (efekt pandemii COVID-19) w 2021 r. nastąpił gwałtowny </w:t>
      </w:r>
      <w:r w:rsidR="001B37AE">
        <w:rPr>
          <w:rFonts w:ascii="Arial" w:hAnsi="Arial" w:cs="Arial"/>
        </w:rPr>
        <w:t xml:space="preserve">ich </w:t>
      </w:r>
      <w:r w:rsidRPr="000303D5">
        <w:rPr>
          <w:rFonts w:ascii="Arial" w:hAnsi="Arial" w:cs="Arial"/>
        </w:rPr>
        <w:t>wzrost. Hurtowe ceny energii w 2021 r. wzrosły średnio o</w:t>
      </w:r>
      <w:r w:rsidR="001B37AE">
        <w:rPr>
          <w:rFonts w:ascii="Arial" w:hAnsi="Arial" w:cs="Arial"/>
        </w:rPr>
        <w:t> </w:t>
      </w:r>
      <w:r w:rsidRPr="000303D5">
        <w:rPr>
          <w:rFonts w:ascii="Arial" w:hAnsi="Arial" w:cs="Arial"/>
        </w:rPr>
        <w:t>200% w porównaniu z 2020 r. Ceny detaliczne wzrosły w znacznie mniejszym stopniu (wzrost o 9%)</w:t>
      </w:r>
      <w:r>
        <w:rPr>
          <w:rFonts w:ascii="Arial" w:hAnsi="Arial" w:cs="Arial"/>
        </w:rPr>
        <w:t>.</w:t>
      </w:r>
    </w:p>
    <w:p w14:paraId="7B919096" w14:textId="37F8D83C" w:rsidR="000303D5" w:rsidRPr="000303D5" w:rsidRDefault="000303D5"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W</w:t>
      </w:r>
      <w:r w:rsidRPr="000303D5">
        <w:rPr>
          <w:rFonts w:ascii="Arial" w:hAnsi="Arial" w:cs="Arial"/>
        </w:rPr>
        <w:t>zrost cen energii elektrycznej jest spowodowany przede wszystkim niezwykle wysokim wzrostem cen gazu ziemnego. Ożywienie gospodarcze i wzrost popytu na gaz zdecydowanie przewyższają możliwości podaży gazu. Zjawisko to jest problemem globalnym i nie dotyczy wyłącznie UE</w:t>
      </w:r>
      <w:r w:rsidR="00A96A94">
        <w:rPr>
          <w:rFonts w:ascii="Arial" w:hAnsi="Arial" w:cs="Arial"/>
        </w:rPr>
        <w:t>.</w:t>
      </w:r>
    </w:p>
    <w:p w14:paraId="1A64D5A3" w14:textId="2ACA4404"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P</w:t>
      </w:r>
      <w:r w:rsidR="000303D5" w:rsidRPr="000303D5">
        <w:rPr>
          <w:rFonts w:ascii="Arial" w:hAnsi="Arial" w:cs="Arial"/>
        </w:rPr>
        <w:t xml:space="preserve">roblemy z dostawami gazu spowodowały, że wzrósł znacząco popyt na węgiel kamienny, a w konsekwencji </w:t>
      </w:r>
      <w:r>
        <w:rPr>
          <w:rFonts w:ascii="Arial" w:hAnsi="Arial" w:cs="Arial"/>
        </w:rPr>
        <w:t xml:space="preserve">wzrosła </w:t>
      </w:r>
      <w:r w:rsidR="000303D5" w:rsidRPr="000303D5">
        <w:rPr>
          <w:rFonts w:ascii="Arial" w:hAnsi="Arial" w:cs="Arial"/>
        </w:rPr>
        <w:t>cena węgla. Jednocześnie ceny uprawnień do emisji CO</w:t>
      </w:r>
      <w:r w:rsidR="000303D5" w:rsidRPr="000303D5">
        <w:rPr>
          <w:rFonts w:ascii="Arial" w:hAnsi="Arial" w:cs="Arial"/>
          <w:vertAlign w:val="subscript"/>
        </w:rPr>
        <w:t>2</w:t>
      </w:r>
      <w:r w:rsidR="000303D5" w:rsidRPr="000303D5">
        <w:rPr>
          <w:rFonts w:ascii="Arial" w:hAnsi="Arial" w:cs="Arial"/>
        </w:rPr>
        <w:t xml:space="preserve"> wzrosły w ostatnim roku z 30 EUR do 60 EUR za tonę CO</w:t>
      </w:r>
      <w:r w:rsidR="000303D5" w:rsidRPr="000303D5">
        <w:rPr>
          <w:rFonts w:ascii="Arial" w:hAnsi="Arial" w:cs="Arial"/>
          <w:vertAlign w:val="subscript"/>
        </w:rPr>
        <w:t>2</w:t>
      </w:r>
      <w:r w:rsidR="000303D5" w:rsidRPr="000303D5">
        <w:rPr>
          <w:rFonts w:ascii="Arial" w:hAnsi="Arial" w:cs="Arial"/>
        </w:rPr>
        <w:t>. W</w:t>
      </w:r>
      <w:r>
        <w:rPr>
          <w:rFonts w:ascii="Arial" w:hAnsi="Arial" w:cs="Arial"/>
        </w:rPr>
        <w:t> </w:t>
      </w:r>
      <w:r w:rsidR="000303D5" w:rsidRPr="000303D5">
        <w:rPr>
          <w:rFonts w:ascii="Arial" w:hAnsi="Arial" w:cs="Arial"/>
        </w:rPr>
        <w:t>efekcie energia wytwarzana z węgla podrożała znacząco nie tylko z powodu wzrostu ceny surowca, ale także rosnących kosztów emisji</w:t>
      </w:r>
      <w:r>
        <w:rPr>
          <w:rFonts w:ascii="Arial" w:hAnsi="Arial" w:cs="Arial"/>
        </w:rPr>
        <w:t>.</w:t>
      </w:r>
    </w:p>
    <w:p w14:paraId="29648D88" w14:textId="43B349A4"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lastRenderedPageBreak/>
        <w:t>W</w:t>
      </w:r>
      <w:r w:rsidR="000303D5" w:rsidRPr="000303D5">
        <w:rPr>
          <w:rFonts w:ascii="Arial" w:hAnsi="Arial" w:cs="Arial"/>
        </w:rPr>
        <w:t>ysokie ceny energii mają wpływ na globalne i europejskie łańcuchy dostaw, a</w:t>
      </w:r>
      <w:r>
        <w:rPr>
          <w:rFonts w:ascii="Arial" w:hAnsi="Arial" w:cs="Arial"/>
        </w:rPr>
        <w:t> </w:t>
      </w:r>
      <w:r w:rsidR="000303D5" w:rsidRPr="000303D5">
        <w:rPr>
          <w:rFonts w:ascii="Arial" w:hAnsi="Arial" w:cs="Arial"/>
        </w:rPr>
        <w:t>ich skutki rzutują na produkcję, zatrudnienie i ceny – zwłaszcza w sektorach energochłonnych. Szczególne problemy przeżywa branża nawozów sztucznych, w której gaz ziemny jest podstawowym surowcem. Jeżeli chodzi o wpływ makroekonomiczny, gwałtowny wzrost cen energii przyczynił się do wyższej inflacji – nie tylko w samej UE, ale też we wszystkich znaczących gospodarkach światowych</w:t>
      </w:r>
      <w:r>
        <w:rPr>
          <w:rFonts w:ascii="Arial" w:hAnsi="Arial" w:cs="Arial"/>
        </w:rPr>
        <w:t>.</w:t>
      </w:r>
    </w:p>
    <w:p w14:paraId="1196608B" w14:textId="22028BB1"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O</w:t>
      </w:r>
      <w:r w:rsidR="000303D5" w:rsidRPr="000303D5">
        <w:rPr>
          <w:rFonts w:ascii="Arial" w:hAnsi="Arial" w:cs="Arial"/>
        </w:rPr>
        <w:t>becny wysoki poziom cen gazu utrzyma się najprawdopodobniej do wiosny 2022 r. i następnie obniży się. Niestety ceny nie powrócą już do poziomu lat 2019</w:t>
      </w:r>
      <w:r>
        <w:rPr>
          <w:rFonts w:ascii="Arial" w:hAnsi="Arial" w:cs="Arial"/>
        </w:rPr>
        <w:t>–</w:t>
      </w:r>
      <w:r w:rsidR="000303D5" w:rsidRPr="000303D5">
        <w:rPr>
          <w:rFonts w:ascii="Arial" w:hAnsi="Arial" w:cs="Arial"/>
        </w:rPr>
        <w:t xml:space="preserve">2020. </w:t>
      </w:r>
    </w:p>
    <w:p w14:paraId="64728C18" w14:textId="425291A2"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Według Komisji</w:t>
      </w:r>
      <w:r w:rsidR="00E25D97">
        <w:rPr>
          <w:rFonts w:ascii="Arial" w:hAnsi="Arial" w:cs="Arial"/>
        </w:rPr>
        <w:t xml:space="preserve"> Europejskiej</w:t>
      </w:r>
      <w:r w:rsidRPr="000303D5">
        <w:rPr>
          <w:rFonts w:ascii="Arial" w:hAnsi="Arial" w:cs="Arial"/>
        </w:rPr>
        <w:t xml:space="preserve"> w odpowiedzi na gwałtowny wzrost cen energii państwa członkowskie i UE mogą zastosować następujące środki:</w:t>
      </w:r>
    </w:p>
    <w:p w14:paraId="19755381" w14:textId="53E8A97F"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W</w:t>
      </w:r>
      <w:r w:rsidR="000303D5" w:rsidRPr="000303D5">
        <w:rPr>
          <w:rFonts w:ascii="Arial" w:hAnsi="Arial" w:cs="Arial"/>
        </w:rPr>
        <w:t>prowadzenie pułapów cenowych i tymczasowych ulg podatkowych dla wrażliwych odbiorców energii lub voucherów i dotacji dla konsumentów i przedsiębiorstw. Środki te mogłyby być częściowo finansowane z dochodów pochodzących z aukcji uprawnieniami w ramach EU ETS, opłat i podatków od cen energii oraz podatków ekologicznych</w:t>
      </w:r>
      <w:r>
        <w:rPr>
          <w:rFonts w:ascii="Arial" w:hAnsi="Arial" w:cs="Arial"/>
        </w:rPr>
        <w:t>.</w:t>
      </w:r>
    </w:p>
    <w:p w14:paraId="45114D16" w14:textId="74687067"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Oc</w:t>
      </w:r>
      <w:r w:rsidR="000303D5" w:rsidRPr="000303D5">
        <w:rPr>
          <w:rFonts w:ascii="Arial" w:hAnsi="Arial" w:cs="Arial"/>
        </w:rPr>
        <w:t>hron</w:t>
      </w:r>
      <w:r w:rsidR="00E25D97">
        <w:rPr>
          <w:rFonts w:ascii="Arial" w:hAnsi="Arial" w:cs="Arial"/>
        </w:rPr>
        <w:t>ę</w:t>
      </w:r>
      <w:r w:rsidR="000303D5" w:rsidRPr="000303D5">
        <w:rPr>
          <w:rFonts w:ascii="Arial" w:hAnsi="Arial" w:cs="Arial"/>
        </w:rPr>
        <w:t xml:space="preserve"> odbiorców wrażliwych – płatności ryczałtowe, odroczenie płatności, zabezpieczenie przed odłączeniem od sieci energetycznej</w:t>
      </w:r>
      <w:r>
        <w:rPr>
          <w:rFonts w:ascii="Arial" w:hAnsi="Arial" w:cs="Arial"/>
        </w:rPr>
        <w:t>.</w:t>
      </w:r>
    </w:p>
    <w:p w14:paraId="43C71AEF" w14:textId="58BEDE1A"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C</w:t>
      </w:r>
      <w:r w:rsidR="000303D5" w:rsidRPr="000303D5">
        <w:rPr>
          <w:rFonts w:ascii="Arial" w:hAnsi="Arial" w:cs="Arial"/>
        </w:rPr>
        <w:t>zasowe i ukierunkowane obniżenie stawek opodatkowania energii elektrycznej, gazu ziemnego, węgla i paliw stałych wykorzystywanych przez gospodarstwa domowe</w:t>
      </w:r>
      <w:r>
        <w:rPr>
          <w:rFonts w:ascii="Arial" w:hAnsi="Arial" w:cs="Arial"/>
        </w:rPr>
        <w:t>.</w:t>
      </w:r>
    </w:p>
    <w:p w14:paraId="486129C7" w14:textId="36AF10AE"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P</w:t>
      </w:r>
      <w:r w:rsidR="000303D5" w:rsidRPr="000303D5">
        <w:rPr>
          <w:rFonts w:ascii="Arial" w:hAnsi="Arial" w:cs="Arial"/>
        </w:rPr>
        <w:t>rzyznanie pomocy przedsiębiorstwom lub gałęziom przemysłu na przetrwanie kryzysu, przy zachowaniu pełnej zgodności z ramami pomocy państwa</w:t>
      </w:r>
      <w:r>
        <w:rPr>
          <w:rFonts w:ascii="Arial" w:hAnsi="Arial" w:cs="Arial"/>
        </w:rPr>
        <w:t>.</w:t>
      </w:r>
    </w:p>
    <w:p w14:paraId="528C80CC" w14:textId="1FF0E7B8"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U</w:t>
      </w:r>
      <w:r w:rsidR="000303D5" w:rsidRPr="000303D5">
        <w:rPr>
          <w:rFonts w:ascii="Arial" w:hAnsi="Arial" w:cs="Arial"/>
        </w:rPr>
        <w:t xml:space="preserve">łatwienie szerszego dostępu do umów zakupu odnawialnej energii elektrycznej, w tym dostęp dla </w:t>
      </w:r>
      <w:r>
        <w:rPr>
          <w:rFonts w:ascii="Arial" w:hAnsi="Arial" w:cs="Arial"/>
        </w:rPr>
        <w:t>małych i średnich przedsiębiorstw</w:t>
      </w:r>
      <w:r w:rsidR="000303D5" w:rsidRPr="000303D5">
        <w:rPr>
          <w:rFonts w:ascii="Arial" w:hAnsi="Arial" w:cs="Arial"/>
        </w:rPr>
        <w:t>, na przykład przez agregację popytu użytkowników końcowych zgodnie z regułami konkurencji</w:t>
      </w:r>
      <w:r>
        <w:rPr>
          <w:rFonts w:ascii="Arial" w:hAnsi="Arial" w:cs="Arial"/>
        </w:rPr>
        <w:t>.</w:t>
      </w:r>
    </w:p>
    <w:p w14:paraId="7335F337" w14:textId="467349CB" w:rsidR="000303D5" w:rsidRPr="000303D5" w:rsidRDefault="00A96A94"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W</w:t>
      </w:r>
      <w:r w:rsidR="000303D5" w:rsidRPr="000303D5">
        <w:rPr>
          <w:rFonts w:ascii="Arial" w:hAnsi="Arial" w:cs="Arial"/>
        </w:rPr>
        <w:t>ykorzystanie istniejących narzędzi prawnych do wykrywania manipulacji na rynku (np. REMIT</w:t>
      </w:r>
      <w:r w:rsidR="000303D5" w:rsidRPr="000303D5">
        <w:rPr>
          <w:rFonts w:ascii="Arial" w:hAnsi="Arial"/>
          <w:vertAlign w:val="superscript"/>
        </w:rPr>
        <w:footnoteReference w:id="1"/>
      </w:r>
      <w:r w:rsidR="000303D5" w:rsidRPr="000303D5">
        <w:rPr>
          <w:rFonts w:ascii="Arial" w:hAnsi="Arial" w:cs="Arial"/>
        </w:rPr>
        <w:t>) i antykonkurencyjnych praktyk handlowych</w:t>
      </w:r>
      <w:r>
        <w:rPr>
          <w:rFonts w:ascii="Arial" w:hAnsi="Arial" w:cs="Arial"/>
        </w:rPr>
        <w:t>.</w:t>
      </w:r>
    </w:p>
    <w:p w14:paraId="77C06E67" w14:textId="3E268DF2" w:rsidR="000303D5" w:rsidRPr="000303D5" w:rsidRDefault="00704BDE"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P</w:t>
      </w:r>
      <w:r w:rsidR="000303D5" w:rsidRPr="000303D5">
        <w:rPr>
          <w:rFonts w:ascii="Arial" w:hAnsi="Arial" w:cs="Arial"/>
        </w:rPr>
        <w:t>rzegląd przepisów w sprawie bezpieczeństwa dostaw gazu, w tym bardziej efektywnego funkcjonowania magazynów gazu</w:t>
      </w:r>
      <w:r>
        <w:rPr>
          <w:rFonts w:ascii="Arial" w:hAnsi="Arial" w:cs="Arial"/>
        </w:rPr>
        <w:t>.</w:t>
      </w:r>
    </w:p>
    <w:p w14:paraId="2C585523" w14:textId="2C5C652B" w:rsidR="000303D5" w:rsidRPr="000303D5" w:rsidRDefault="00704BDE" w:rsidP="000303D5">
      <w:pPr>
        <w:numPr>
          <w:ilvl w:val="0"/>
          <w:numId w:val="41"/>
        </w:numPr>
        <w:suppressAutoHyphens/>
        <w:spacing w:line="360" w:lineRule="auto"/>
        <w:ind w:left="357" w:hanging="357"/>
        <w:contextualSpacing/>
        <w:jc w:val="both"/>
        <w:rPr>
          <w:rFonts w:ascii="Arial" w:hAnsi="Arial" w:cs="Arial"/>
        </w:rPr>
      </w:pPr>
      <w:r>
        <w:rPr>
          <w:rFonts w:ascii="Arial" w:hAnsi="Arial" w:cs="Arial"/>
        </w:rPr>
        <w:t>P</w:t>
      </w:r>
      <w:r w:rsidR="000303D5" w:rsidRPr="000303D5">
        <w:rPr>
          <w:rFonts w:ascii="Arial" w:hAnsi="Arial" w:cs="Arial"/>
        </w:rPr>
        <w:t>rzygotowanie narzędzi wsparcia dla rozwoju magazynów energii elektrycznej oraz magazynów opartych na wodorze</w:t>
      </w:r>
      <w:r>
        <w:rPr>
          <w:rFonts w:ascii="Arial" w:hAnsi="Arial" w:cs="Arial"/>
        </w:rPr>
        <w:t>.</w:t>
      </w:r>
    </w:p>
    <w:p w14:paraId="69A3D4CF" w14:textId="77777777" w:rsidR="00E25D97" w:rsidRDefault="00704BDE" w:rsidP="00E25D97">
      <w:pPr>
        <w:numPr>
          <w:ilvl w:val="0"/>
          <w:numId w:val="41"/>
        </w:numPr>
        <w:suppressAutoHyphens/>
        <w:spacing w:line="360" w:lineRule="auto"/>
        <w:ind w:left="357" w:hanging="357"/>
        <w:contextualSpacing/>
        <w:jc w:val="both"/>
        <w:rPr>
          <w:rFonts w:ascii="Arial" w:hAnsi="Arial" w:cs="Arial"/>
        </w:rPr>
      </w:pPr>
      <w:r w:rsidRPr="00E25D97">
        <w:rPr>
          <w:rFonts w:ascii="Arial" w:hAnsi="Arial" w:cs="Arial"/>
        </w:rPr>
        <w:t>R</w:t>
      </w:r>
      <w:r w:rsidR="000303D5" w:rsidRPr="000303D5">
        <w:rPr>
          <w:rFonts w:ascii="Arial" w:hAnsi="Arial" w:cs="Arial"/>
        </w:rPr>
        <w:t>ozważenie wdrożenia mechanizmu dobrowolnego wspólnego udzielania zamówień na rezerwowe zapasy gazu</w:t>
      </w:r>
      <w:r w:rsidR="00E25D97" w:rsidRPr="00E25D97">
        <w:rPr>
          <w:rFonts w:ascii="Arial" w:hAnsi="Arial" w:cs="Arial"/>
        </w:rPr>
        <w:t>.</w:t>
      </w:r>
    </w:p>
    <w:p w14:paraId="20549E2E" w14:textId="0C858D55" w:rsidR="000303D5" w:rsidRPr="00E25D97" w:rsidRDefault="00E25D97" w:rsidP="00E25D97">
      <w:pPr>
        <w:numPr>
          <w:ilvl w:val="0"/>
          <w:numId w:val="41"/>
        </w:numPr>
        <w:suppressAutoHyphens/>
        <w:spacing w:line="360" w:lineRule="auto"/>
        <w:ind w:left="357" w:hanging="357"/>
        <w:contextualSpacing/>
        <w:jc w:val="both"/>
        <w:rPr>
          <w:rFonts w:ascii="Arial" w:hAnsi="Arial" w:cs="Arial"/>
        </w:rPr>
      </w:pPr>
      <w:r>
        <w:rPr>
          <w:rFonts w:ascii="Arial" w:hAnsi="Arial" w:cs="Arial"/>
        </w:rPr>
        <w:t>D</w:t>
      </w:r>
      <w:r w:rsidR="000303D5" w:rsidRPr="000303D5">
        <w:rPr>
          <w:rFonts w:ascii="Arial" w:hAnsi="Arial" w:cs="Arial"/>
        </w:rPr>
        <w:t>alsz</w:t>
      </w:r>
      <w:r>
        <w:rPr>
          <w:rFonts w:ascii="Arial" w:hAnsi="Arial" w:cs="Arial"/>
        </w:rPr>
        <w:t>ą</w:t>
      </w:r>
      <w:r w:rsidR="000303D5" w:rsidRPr="000303D5">
        <w:rPr>
          <w:rFonts w:ascii="Arial" w:hAnsi="Arial" w:cs="Arial"/>
        </w:rPr>
        <w:t xml:space="preserve"> redukcj</w:t>
      </w:r>
      <w:r>
        <w:rPr>
          <w:rFonts w:ascii="Arial" w:hAnsi="Arial" w:cs="Arial"/>
        </w:rPr>
        <w:t>ę</w:t>
      </w:r>
      <w:r w:rsidR="000303D5" w:rsidRPr="000303D5">
        <w:rPr>
          <w:rFonts w:ascii="Arial" w:hAnsi="Arial" w:cs="Arial"/>
        </w:rPr>
        <w:t xml:space="preserve"> barier rozwoju OZE przez ograniczenie długotrwałych i skomplikowanych procedur wydawania zezwoleń oraz zwiększenie produkcji urządzeń na potrzeby energetyki odnawialnej</w:t>
      </w:r>
      <w:r>
        <w:rPr>
          <w:rFonts w:ascii="Arial" w:hAnsi="Arial" w:cs="Arial"/>
        </w:rPr>
        <w:t>.</w:t>
      </w:r>
    </w:p>
    <w:p w14:paraId="289A617F" w14:textId="31DABA28" w:rsidR="000303D5" w:rsidRPr="000303D5" w:rsidRDefault="00E25D97" w:rsidP="00E25D97">
      <w:pPr>
        <w:numPr>
          <w:ilvl w:val="0"/>
          <w:numId w:val="41"/>
        </w:numPr>
        <w:suppressAutoHyphens/>
        <w:spacing w:line="360" w:lineRule="auto"/>
        <w:ind w:left="357" w:hanging="357"/>
        <w:contextualSpacing/>
        <w:jc w:val="both"/>
        <w:rPr>
          <w:rFonts w:ascii="Arial" w:hAnsi="Arial" w:cs="Arial"/>
        </w:rPr>
      </w:pPr>
      <w:r>
        <w:rPr>
          <w:rFonts w:ascii="Arial" w:hAnsi="Arial" w:cs="Arial"/>
        </w:rPr>
        <w:t>Z</w:t>
      </w:r>
      <w:r w:rsidR="000303D5" w:rsidRPr="000303D5">
        <w:rPr>
          <w:rFonts w:ascii="Arial" w:hAnsi="Arial" w:cs="Arial"/>
        </w:rPr>
        <w:t>większenie inwestycji w energetyczne sieci transeuropejskie, w tym dalsz</w:t>
      </w:r>
      <w:r>
        <w:rPr>
          <w:rFonts w:ascii="Arial" w:hAnsi="Arial" w:cs="Arial"/>
        </w:rPr>
        <w:t>ą</w:t>
      </w:r>
      <w:r w:rsidR="000303D5" w:rsidRPr="000303D5">
        <w:rPr>
          <w:rFonts w:ascii="Arial" w:hAnsi="Arial" w:cs="Arial"/>
        </w:rPr>
        <w:t xml:space="preserve"> rozbudow</w:t>
      </w:r>
      <w:r>
        <w:rPr>
          <w:rFonts w:ascii="Arial" w:hAnsi="Arial" w:cs="Arial"/>
        </w:rPr>
        <w:t>ę</w:t>
      </w:r>
      <w:r w:rsidR="000303D5" w:rsidRPr="000303D5">
        <w:rPr>
          <w:rFonts w:ascii="Arial" w:hAnsi="Arial" w:cs="Arial"/>
        </w:rPr>
        <w:t xml:space="preserve"> połączeń transgranicznych.</w:t>
      </w:r>
    </w:p>
    <w:p w14:paraId="5C25A934" w14:textId="459B201A" w:rsidR="00A57177" w:rsidRPr="00526894" w:rsidRDefault="0041692C" w:rsidP="000303D5">
      <w:pPr>
        <w:spacing w:before="120" w:line="360" w:lineRule="auto"/>
        <w:ind w:left="851"/>
        <w:jc w:val="both"/>
        <w:rPr>
          <w:rFonts w:ascii="Arial" w:hAnsi="Arial" w:cs="Arial"/>
          <w:b/>
        </w:rPr>
      </w:pPr>
      <w:r w:rsidRPr="00526894">
        <w:rPr>
          <w:rFonts w:ascii="Arial" w:hAnsi="Arial" w:cs="Arial"/>
          <w:b/>
        </w:rPr>
        <w:t>b) geneza dokument</w:t>
      </w:r>
      <w:r w:rsidR="0094614B" w:rsidRPr="00526894">
        <w:rPr>
          <w:rFonts w:ascii="Arial" w:hAnsi="Arial" w:cs="Arial"/>
          <w:b/>
        </w:rPr>
        <w:t>u</w:t>
      </w:r>
      <w:r w:rsidRPr="00526894">
        <w:rPr>
          <w:rFonts w:ascii="Arial" w:hAnsi="Arial" w:cs="Arial"/>
          <w:b/>
        </w:rPr>
        <w:t xml:space="preserve"> UE </w:t>
      </w:r>
    </w:p>
    <w:p w14:paraId="3EFD52C3" w14:textId="70CCE2A6" w:rsidR="00534F91" w:rsidRPr="00534F91" w:rsidRDefault="000303D5" w:rsidP="00534F91">
      <w:pPr>
        <w:spacing w:line="360" w:lineRule="auto"/>
        <w:ind w:firstLine="851"/>
        <w:jc w:val="both"/>
        <w:rPr>
          <w:rFonts w:ascii="Arial" w:hAnsi="Arial" w:cs="Arial"/>
        </w:rPr>
      </w:pPr>
      <w:r>
        <w:rPr>
          <w:rFonts w:ascii="Arial" w:hAnsi="Arial" w:cs="Arial"/>
        </w:rPr>
        <w:t xml:space="preserve">Problemy polityczne (Nord Streem 2, Afryka Północna), klęski żywiołowe (Chiny) oraz ożywienie popytu po </w:t>
      </w:r>
      <w:r w:rsidR="00E25D97">
        <w:rPr>
          <w:rFonts w:ascii="Arial" w:hAnsi="Arial" w:cs="Arial"/>
        </w:rPr>
        <w:t>dwóch</w:t>
      </w:r>
      <w:r>
        <w:rPr>
          <w:rFonts w:ascii="Arial" w:hAnsi="Arial" w:cs="Arial"/>
        </w:rPr>
        <w:t xml:space="preserve"> latach pandemii COVID-19 wywołały problemy nierównowagi podaży i popytu surowców energetycznych – nie tylko w UE, ale i na całym świecie. Przedłożony komunikat stanowi reakcję Komisji </w:t>
      </w:r>
      <w:r w:rsidR="00E25D97">
        <w:rPr>
          <w:rFonts w:ascii="Arial" w:hAnsi="Arial" w:cs="Arial"/>
        </w:rPr>
        <w:t xml:space="preserve">Europejskiej </w:t>
      </w:r>
      <w:r>
        <w:rPr>
          <w:rFonts w:ascii="Arial" w:hAnsi="Arial" w:cs="Arial"/>
        </w:rPr>
        <w:t>na zjawisko gwałtownego wzrostu cen energii, obciążającego nie tylko koszty funkcjonowania gospodarstw domowych oraz gospodarki, ale też będącego odczuwalnym impulsem inflacyjnym. W omawianym dokumencie zawarto propozycje działań łagodzących skutki wzrostu cen energii w perspektywach krótko- i</w:t>
      </w:r>
      <w:r w:rsidR="00E25D97">
        <w:rPr>
          <w:rFonts w:ascii="Arial" w:hAnsi="Arial" w:cs="Arial"/>
        </w:rPr>
        <w:t> </w:t>
      </w:r>
      <w:r>
        <w:rPr>
          <w:rFonts w:ascii="Arial" w:hAnsi="Arial" w:cs="Arial"/>
        </w:rPr>
        <w:t>średnioterminowej.</w:t>
      </w:r>
    </w:p>
    <w:p w14:paraId="0559F9C0" w14:textId="77777777" w:rsidR="00B7758D" w:rsidRPr="00526894" w:rsidRDefault="0041692C" w:rsidP="009530D6">
      <w:pPr>
        <w:spacing w:before="120" w:line="360" w:lineRule="auto"/>
        <w:ind w:left="851"/>
        <w:jc w:val="both"/>
        <w:rPr>
          <w:rFonts w:ascii="Arial" w:hAnsi="Arial" w:cs="Arial"/>
          <w:b/>
        </w:rPr>
      </w:pPr>
      <w:r w:rsidRPr="00526894">
        <w:rPr>
          <w:rFonts w:ascii="Arial" w:hAnsi="Arial" w:cs="Arial"/>
          <w:b/>
        </w:rPr>
        <w:t>c) informacja o stanie prawa obowiązującego w Polsce w materii objętej treścią dokument</w:t>
      </w:r>
      <w:r w:rsidR="0094614B" w:rsidRPr="00526894">
        <w:rPr>
          <w:rFonts w:ascii="Arial" w:hAnsi="Arial" w:cs="Arial"/>
          <w:b/>
        </w:rPr>
        <w:t>u</w:t>
      </w:r>
      <w:r w:rsidRPr="00526894">
        <w:rPr>
          <w:rFonts w:ascii="Arial" w:hAnsi="Arial" w:cs="Arial"/>
          <w:b/>
        </w:rPr>
        <w:t xml:space="preserve"> UE</w:t>
      </w:r>
    </w:p>
    <w:p w14:paraId="67CEE72E" w14:textId="2460B35B" w:rsidR="0063149C" w:rsidRPr="00526894" w:rsidRDefault="00E25D97" w:rsidP="00534F91">
      <w:pPr>
        <w:spacing w:line="360" w:lineRule="auto"/>
        <w:ind w:firstLine="851"/>
        <w:jc w:val="both"/>
        <w:rPr>
          <w:rFonts w:ascii="Arial" w:hAnsi="Arial" w:cs="Arial"/>
        </w:rPr>
      </w:pPr>
      <w:r>
        <w:rPr>
          <w:rFonts w:ascii="Arial" w:hAnsi="Arial" w:cs="Arial"/>
        </w:rPr>
        <w:t>W p</w:t>
      </w:r>
      <w:r w:rsidR="000303D5">
        <w:rPr>
          <w:rFonts w:ascii="Arial" w:hAnsi="Arial" w:cs="Arial"/>
        </w:rPr>
        <w:t>rzedstawiony</w:t>
      </w:r>
      <w:r>
        <w:rPr>
          <w:rFonts w:ascii="Arial" w:hAnsi="Arial" w:cs="Arial"/>
        </w:rPr>
        <w:t>m</w:t>
      </w:r>
      <w:r w:rsidR="000303D5">
        <w:rPr>
          <w:rFonts w:ascii="Arial" w:hAnsi="Arial" w:cs="Arial"/>
        </w:rPr>
        <w:t xml:space="preserve"> zestaw</w:t>
      </w:r>
      <w:r>
        <w:rPr>
          <w:rFonts w:ascii="Arial" w:hAnsi="Arial" w:cs="Arial"/>
        </w:rPr>
        <w:t>ie</w:t>
      </w:r>
      <w:r w:rsidR="000303D5">
        <w:rPr>
          <w:rFonts w:ascii="Arial" w:hAnsi="Arial" w:cs="Arial"/>
        </w:rPr>
        <w:t xml:space="preserve"> środków łagodzących skutki wzrostu cen energii proponuje </w:t>
      </w:r>
      <w:r>
        <w:rPr>
          <w:rFonts w:ascii="Arial" w:hAnsi="Arial" w:cs="Arial"/>
        </w:rPr>
        <w:t xml:space="preserve">się </w:t>
      </w:r>
      <w:r w:rsidR="000303D5">
        <w:rPr>
          <w:rFonts w:ascii="Arial" w:hAnsi="Arial" w:cs="Arial"/>
        </w:rPr>
        <w:t>rozwiązania kierunkowe, pozostawiając państwom członkowskim wybór konkretnych rozwiązań. Zestaw możliwych działań obejmuje kwestie podatkowe, przepisy dotyczące funkcjonowania sektora energetycznego, inwestycji infrastrukturalnych czy pomocy społecznej. Trudno zatem wskazać konkretne akty prawa krajowego</w:t>
      </w:r>
      <w:r w:rsidR="003B508F">
        <w:rPr>
          <w:rFonts w:ascii="Arial" w:hAnsi="Arial" w:cs="Arial"/>
        </w:rPr>
        <w:t>,</w:t>
      </w:r>
      <w:r w:rsidR="000303D5">
        <w:rPr>
          <w:rFonts w:ascii="Arial" w:hAnsi="Arial" w:cs="Arial"/>
        </w:rPr>
        <w:t xml:space="preserve"> jeśli nie jest jeszcze pewne, jakie narzędzia i środki zostaną zastosowane w Polsce.</w:t>
      </w:r>
    </w:p>
    <w:p w14:paraId="0787C4E7" w14:textId="2CE98885" w:rsidR="007A4E14" w:rsidRDefault="007A4E14">
      <w:pPr>
        <w:rPr>
          <w:rFonts w:ascii="Arial" w:hAnsi="Arial" w:cs="Arial"/>
          <w:b/>
        </w:rPr>
      </w:pPr>
      <w:r>
        <w:rPr>
          <w:rFonts w:ascii="Arial" w:hAnsi="Arial" w:cs="Arial"/>
          <w:b/>
        </w:rPr>
        <w:br w:type="page"/>
      </w:r>
    </w:p>
    <w:p w14:paraId="7E9988B0" w14:textId="77777777" w:rsidR="0041692C" w:rsidRPr="00526894" w:rsidRDefault="0041692C" w:rsidP="001C2C01">
      <w:pPr>
        <w:spacing w:line="360" w:lineRule="auto"/>
        <w:ind w:firstLine="851"/>
        <w:jc w:val="both"/>
        <w:rPr>
          <w:rFonts w:ascii="Arial" w:hAnsi="Arial" w:cs="Arial"/>
          <w:b/>
        </w:rPr>
      </w:pPr>
      <w:r w:rsidRPr="00526894">
        <w:rPr>
          <w:rFonts w:ascii="Arial" w:hAnsi="Arial" w:cs="Arial"/>
          <w:b/>
        </w:rPr>
        <w:t>2. Ocena dokument</w:t>
      </w:r>
      <w:r w:rsidR="0094614B" w:rsidRPr="00526894">
        <w:rPr>
          <w:rFonts w:ascii="Arial" w:hAnsi="Arial" w:cs="Arial"/>
          <w:b/>
        </w:rPr>
        <w:t>u</w:t>
      </w:r>
      <w:r w:rsidRPr="00526894">
        <w:rPr>
          <w:rFonts w:ascii="Arial" w:hAnsi="Arial" w:cs="Arial"/>
          <w:b/>
        </w:rPr>
        <w:t xml:space="preserve"> UE </w:t>
      </w:r>
    </w:p>
    <w:p w14:paraId="631DBFAC" w14:textId="2111241C" w:rsidR="00B7758D" w:rsidRPr="00526894" w:rsidRDefault="0041692C" w:rsidP="001C2C01">
      <w:pPr>
        <w:spacing w:line="360" w:lineRule="auto"/>
        <w:ind w:firstLine="851"/>
        <w:jc w:val="both"/>
        <w:rPr>
          <w:rFonts w:ascii="Arial" w:hAnsi="Arial" w:cs="Arial"/>
          <w:b/>
        </w:rPr>
      </w:pPr>
      <w:r w:rsidRPr="00526894">
        <w:rPr>
          <w:rFonts w:ascii="Arial" w:hAnsi="Arial" w:cs="Arial"/>
          <w:b/>
        </w:rPr>
        <w:t>a) ocena skutków dokument</w:t>
      </w:r>
      <w:r w:rsidR="0094614B" w:rsidRPr="00526894">
        <w:rPr>
          <w:rFonts w:ascii="Arial" w:hAnsi="Arial" w:cs="Arial"/>
          <w:b/>
        </w:rPr>
        <w:t>u</w:t>
      </w:r>
      <w:r w:rsidRPr="00526894">
        <w:rPr>
          <w:rFonts w:ascii="Arial" w:hAnsi="Arial" w:cs="Arial"/>
          <w:b/>
        </w:rPr>
        <w:t xml:space="preserve"> UE</w:t>
      </w:r>
    </w:p>
    <w:p w14:paraId="65A62640" w14:textId="54F37B74"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Odnosząc się do przedstawionych w komunikacie przyczyn gwałtownego wzrostu cen trzeba zauważyć, że ożywienie gospodarcze po pandemii, wzrost cen gazu i wzrost cen uprawnień do emisji CO</w:t>
      </w:r>
      <w:r w:rsidRPr="000303D5">
        <w:rPr>
          <w:rFonts w:ascii="Arial" w:hAnsi="Arial" w:cs="Arial"/>
          <w:vertAlign w:val="subscript"/>
        </w:rPr>
        <w:t>2</w:t>
      </w:r>
      <w:r w:rsidRPr="000303D5">
        <w:rPr>
          <w:rFonts w:ascii="Arial" w:hAnsi="Arial" w:cs="Arial"/>
        </w:rPr>
        <w:t xml:space="preserve"> są pewnym uproszczonym uzasadnieniem obecnej sytuacji. Wzrost cen energii jest zjawiskiem globalnym i ma globalne (a nie tylko europejskie) źródła. Przede wszystkim należy wskazać, że na skutek m.in. zjawisk pogodowych (zalane kopalnie odkrywkowe) w Chinach doszło do drastycznego ograniczenia produkcji węgla, który jest podstawowym surowcem przemysłowym i energetycznym. Spowodowało to gwałtowny wzrost importu gazu ziemnego (jako zamiennika węgla) sprowadzanego do Chin w postaci LNG. W</w:t>
      </w:r>
      <w:r w:rsidR="00E25D97">
        <w:rPr>
          <w:rFonts w:ascii="Arial" w:hAnsi="Arial" w:cs="Arial"/>
        </w:rPr>
        <w:t> </w:t>
      </w:r>
      <w:r w:rsidRPr="000303D5">
        <w:rPr>
          <w:rFonts w:ascii="Arial" w:hAnsi="Arial" w:cs="Arial"/>
        </w:rPr>
        <w:t>efekcie wzrosły nie tylko ceny samego gazu, ale też znacząco ograniczone zostały możliwości zakupów „spotowych” LNG dla innych odbiorców. Sytuacji nie ustabilizowały dostawy gazu z USA (dużego eksportera gazu pozyskiwanego z</w:t>
      </w:r>
      <w:r w:rsidR="00E25D97">
        <w:rPr>
          <w:rFonts w:ascii="Arial" w:hAnsi="Arial" w:cs="Arial"/>
        </w:rPr>
        <w:t> </w:t>
      </w:r>
      <w:r w:rsidRPr="000303D5">
        <w:rPr>
          <w:rFonts w:ascii="Arial" w:hAnsi="Arial" w:cs="Arial"/>
        </w:rPr>
        <w:t>łupków) – polityka podatkowa obecnych władz amerykańskich zmniejszyła chęć do inwestowania w gaz łupkowy i</w:t>
      </w:r>
      <w:r w:rsidR="00E25D97">
        <w:rPr>
          <w:rFonts w:ascii="Arial" w:hAnsi="Arial" w:cs="Arial"/>
        </w:rPr>
        <w:t xml:space="preserve"> </w:t>
      </w:r>
      <w:r w:rsidRPr="000303D5">
        <w:rPr>
          <w:rFonts w:ascii="Arial" w:hAnsi="Arial" w:cs="Arial"/>
        </w:rPr>
        <w:t>w</w:t>
      </w:r>
      <w:r w:rsidR="00E25D97">
        <w:rPr>
          <w:rFonts w:ascii="Arial" w:hAnsi="Arial" w:cs="Arial"/>
        </w:rPr>
        <w:t xml:space="preserve"> </w:t>
      </w:r>
      <w:r w:rsidRPr="000303D5">
        <w:rPr>
          <w:rFonts w:ascii="Arial" w:hAnsi="Arial" w:cs="Arial"/>
        </w:rPr>
        <w:t>nowe terminale LNG</w:t>
      </w:r>
      <w:r w:rsidRPr="000303D5">
        <w:rPr>
          <w:rFonts w:ascii="Arial" w:hAnsi="Arial"/>
          <w:vertAlign w:val="superscript"/>
        </w:rPr>
        <w:footnoteReference w:id="2"/>
      </w:r>
      <w:r w:rsidRPr="000303D5">
        <w:rPr>
          <w:rFonts w:ascii="Arial" w:hAnsi="Arial" w:cs="Arial"/>
        </w:rPr>
        <w:t>. Z kolei dla europejskiego rynku gazu znaczenie miał również konflikt Algierii z Marokiem, który odczuwalnie ograniczył możliwości przesyłu gazu do UE z Afryki Północnej. Gazprom w zasadzie wykorzystał sytuację na rynku światowym do bezwzględnego nacisku polityczno-ekonomicznego na UE i ostatecznie wywindował ceny o kilkaset procent.</w:t>
      </w:r>
    </w:p>
    <w:p w14:paraId="321644A3" w14:textId="10752455"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Wzrost cen oraz problemy z dostawami gazu zwiększyły w konsekwencji zainteresowanie zakupami węgla</w:t>
      </w:r>
      <w:r w:rsidR="003B508F">
        <w:rPr>
          <w:rFonts w:ascii="Arial" w:hAnsi="Arial" w:cs="Arial"/>
        </w:rPr>
        <w:t>,</w:t>
      </w:r>
      <w:r w:rsidRPr="000303D5">
        <w:rPr>
          <w:rFonts w:ascii="Arial" w:hAnsi="Arial" w:cs="Arial"/>
        </w:rPr>
        <w:t xml:space="preserve"> </w:t>
      </w:r>
      <w:r w:rsidR="003B508F">
        <w:rPr>
          <w:rFonts w:ascii="Arial" w:hAnsi="Arial" w:cs="Arial"/>
        </w:rPr>
        <w:t>a</w:t>
      </w:r>
      <w:r w:rsidRPr="000303D5">
        <w:rPr>
          <w:rFonts w:ascii="Arial" w:hAnsi="Arial" w:cs="Arial"/>
        </w:rPr>
        <w:t xml:space="preserve">le i w tym przypadku popyt napotkał na barierę podaży. Najwięksi światowi producenci węgla (Australia, RPA, Rosja) nie są w stanie znacząco zwiększyć wydobycia, ale także przekroczyć bariery logistycznej (możliwości transportu). W efekcie ceny drugiego ważnego surowca energetycznego również osiągnęły nienotowany od dawna poziom. </w:t>
      </w:r>
    </w:p>
    <w:p w14:paraId="1B53DD76" w14:textId="77777777"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Reasumując, cenowy kryzys energetyczny ma swoje przyczyny w niefortunnym zbiegu wydarzeń w skali globalnej, a spekulacje na rynku uprawnień do emisji czy rosyjski szantaż gazowy w cyniczny sposób pogłębiły chaos na rynku energetycznym.</w:t>
      </w:r>
    </w:p>
    <w:p w14:paraId="7B63ACD7" w14:textId="78FF7AC3" w:rsidR="000303D5" w:rsidRPr="000303D5" w:rsidRDefault="000303D5" w:rsidP="000303D5">
      <w:pPr>
        <w:suppressAutoHyphens/>
        <w:spacing w:line="360" w:lineRule="auto"/>
        <w:ind w:firstLine="851"/>
        <w:jc w:val="both"/>
        <w:rPr>
          <w:rFonts w:ascii="Arial" w:hAnsi="Arial" w:cs="Arial"/>
        </w:rPr>
      </w:pPr>
      <w:r w:rsidRPr="000303D5">
        <w:rPr>
          <w:rFonts w:ascii="Arial" w:hAnsi="Arial" w:cs="Arial"/>
        </w:rPr>
        <w:t xml:space="preserve">Jeśli chodzi o proponowane przez Komisję </w:t>
      </w:r>
      <w:r w:rsidR="00E25D97">
        <w:rPr>
          <w:rFonts w:ascii="Arial" w:hAnsi="Arial" w:cs="Arial"/>
        </w:rPr>
        <w:t xml:space="preserve">Europejską </w:t>
      </w:r>
      <w:r w:rsidRPr="000303D5">
        <w:rPr>
          <w:rFonts w:ascii="Arial" w:hAnsi="Arial" w:cs="Arial"/>
        </w:rPr>
        <w:t>działania natychmiastowe, to zestaw środków ogranicza się w zasadniczej mierze do ograniczenia opodatkowania energii oraz ochrony odbiorców wrażliwych. Działania te (w różnym zakresie) podjęła już większość państw członkowskich</w:t>
      </w:r>
      <w:r w:rsidR="00E25D97">
        <w:rPr>
          <w:rFonts w:ascii="Arial" w:hAnsi="Arial" w:cs="Arial"/>
        </w:rPr>
        <w:t xml:space="preserve"> UE</w:t>
      </w:r>
      <w:r w:rsidRPr="000303D5">
        <w:rPr>
          <w:rFonts w:ascii="Arial" w:hAnsi="Arial" w:cs="Arial"/>
        </w:rPr>
        <w:t>. Jak można sądzić, proponowane działania natychmiastowe największe znaczenie „ochronne” będą miały dla gospodarstw domowych, w szczególności na regulowanych rynkach energetycznych, gdzie występuje wciąż obowiązek taryfowy (sam fakt regulowania taryf ogranicza wzrost cen). W przypadku sektora przedsiębiorstw działania natychmiastowe będą miały najprawdopodobniej neutralne znaczenie. Wzrost cen energii zostanie wkalkulowany w koszty produkcji i „odebrany” w postaci wyższych cen detalicznych – co ostatecznie napędzi zjawisko inflacji. Mimo zastosowania proponowanych środków natychmiastowych</w:t>
      </w:r>
      <w:r w:rsidR="003B508F">
        <w:rPr>
          <w:rFonts w:ascii="Arial" w:hAnsi="Arial" w:cs="Arial"/>
        </w:rPr>
        <w:t>,</w:t>
      </w:r>
      <w:r w:rsidRPr="000303D5">
        <w:rPr>
          <w:rFonts w:ascii="Arial" w:hAnsi="Arial" w:cs="Arial"/>
        </w:rPr>
        <w:t xml:space="preserve"> w najgorszej sytuacji pozostanie sektor usług publicznych – szkoły, szpitale, urzędy i inne jednostki użyteczności publicznej nie kwalifikują się do części form pomocy właściwej dla gospodarstw domowych, nie podniosą też cen, jak sektor przedsiębiorstw. Utrzymanie zakresu i poziomu usług publicznych może zatem stać się prawdziwym wyzwaniem dla sektora finansów publicznych, w tym dla jednostek samorządu terytorialnego.</w:t>
      </w:r>
    </w:p>
    <w:p w14:paraId="6EC70F62" w14:textId="5EE33180" w:rsidR="000303D5" w:rsidRPr="00526894" w:rsidRDefault="000303D5" w:rsidP="000303D5">
      <w:pPr>
        <w:spacing w:line="360" w:lineRule="auto"/>
        <w:ind w:firstLine="851"/>
        <w:jc w:val="both"/>
        <w:rPr>
          <w:rFonts w:ascii="Arial" w:hAnsi="Arial" w:cs="Arial"/>
          <w:spacing w:val="-4"/>
        </w:rPr>
      </w:pPr>
      <w:r w:rsidRPr="000303D5">
        <w:rPr>
          <w:rFonts w:ascii="Arial" w:hAnsi="Arial" w:cs="Arial"/>
        </w:rPr>
        <w:t xml:space="preserve">Jeśli chodzi o działania w średniej perspektywie czasowej Komisja </w:t>
      </w:r>
      <w:r w:rsidR="00E25D97">
        <w:rPr>
          <w:rFonts w:ascii="Arial" w:hAnsi="Arial" w:cs="Arial"/>
        </w:rPr>
        <w:t xml:space="preserve">Europejska </w:t>
      </w:r>
      <w:r w:rsidRPr="000303D5">
        <w:rPr>
          <w:rFonts w:ascii="Arial" w:hAnsi="Arial" w:cs="Arial"/>
        </w:rPr>
        <w:t>proponuje z jednej strony podjęcie szeregu inicjatyw regulacyjnych, z</w:t>
      </w:r>
      <w:r w:rsidR="00E25D97">
        <w:rPr>
          <w:rFonts w:ascii="Arial" w:hAnsi="Arial" w:cs="Arial"/>
        </w:rPr>
        <w:t> </w:t>
      </w:r>
      <w:r w:rsidRPr="000303D5">
        <w:rPr>
          <w:rFonts w:ascii="Arial" w:hAnsi="Arial" w:cs="Arial"/>
        </w:rPr>
        <w:t>drugiej zwiększenie inwestycji w energię odnawialną czy efektywność energetyczną. W przypadku propozycji ulepszenia istniejących ram prawnych jakość proponowanych zmian będzie można ocenić, gdy zostaną przedstawione konkretne projekty. Natomiast budowanie niezależności UE poprzez zwiększenie inwestycji w</w:t>
      </w:r>
      <w:r w:rsidR="00E25D97">
        <w:rPr>
          <w:rFonts w:ascii="Arial" w:hAnsi="Arial" w:cs="Arial"/>
        </w:rPr>
        <w:t> </w:t>
      </w:r>
      <w:r w:rsidRPr="000303D5">
        <w:rPr>
          <w:rFonts w:ascii="Arial" w:hAnsi="Arial" w:cs="Arial"/>
        </w:rPr>
        <w:t>OZE, o ile jest kierunkowo słusznym postulatem, to jednocześnie w chwili obecnej jest działaniem mało skutecznym. Rozbudowa kolejnych instalacji nietrwałej energii z</w:t>
      </w:r>
      <w:r w:rsidR="00E25D97">
        <w:rPr>
          <w:rFonts w:ascii="Arial" w:hAnsi="Arial" w:cs="Arial"/>
        </w:rPr>
        <w:t> </w:t>
      </w:r>
      <w:r w:rsidRPr="000303D5">
        <w:rPr>
          <w:rFonts w:ascii="Arial" w:hAnsi="Arial" w:cs="Arial"/>
        </w:rPr>
        <w:t xml:space="preserve">OZE, </w:t>
      </w:r>
      <w:r w:rsidRPr="000303D5">
        <w:rPr>
          <w:rFonts w:ascii="Arial" w:hAnsi="Arial" w:cs="Arial"/>
          <w:u w:val="single"/>
        </w:rPr>
        <w:t>bez możliwości magazynowania</w:t>
      </w:r>
      <w:r w:rsidRPr="000303D5">
        <w:rPr>
          <w:rFonts w:ascii="Arial" w:hAnsi="Arial" w:cs="Arial"/>
        </w:rPr>
        <w:t xml:space="preserve"> tej energii, pogłębia uzależnienie UE od importu gazu ziemnego lub dalszego utrzymywania energetyki węglowej. Wydaje się, że priorytetem UE w</w:t>
      </w:r>
      <w:r>
        <w:rPr>
          <w:rFonts w:ascii="Arial" w:hAnsi="Arial" w:cs="Arial"/>
        </w:rPr>
        <w:t xml:space="preserve"> </w:t>
      </w:r>
      <w:r w:rsidRPr="000303D5">
        <w:rPr>
          <w:rFonts w:ascii="Arial" w:hAnsi="Arial" w:cs="Arial"/>
        </w:rPr>
        <w:t>średnim okresie czasu powinna stać się maksymalizacja sił i</w:t>
      </w:r>
      <w:r w:rsidR="00E25D97">
        <w:rPr>
          <w:rFonts w:ascii="Arial" w:hAnsi="Arial" w:cs="Arial"/>
        </w:rPr>
        <w:t> </w:t>
      </w:r>
      <w:r w:rsidRPr="000303D5">
        <w:rPr>
          <w:rFonts w:ascii="Arial" w:hAnsi="Arial" w:cs="Arial"/>
        </w:rPr>
        <w:t>środków na technologiach magazynowania energii, a dopiero w dalszej perspektywie kolejnych inwestycji w OZE.</w:t>
      </w:r>
    </w:p>
    <w:p w14:paraId="17A7B12D" w14:textId="1A33B475" w:rsidR="00B7758D" w:rsidRPr="00526894" w:rsidRDefault="0041692C" w:rsidP="00D6350E">
      <w:pPr>
        <w:spacing w:before="120" w:line="360" w:lineRule="auto"/>
        <w:ind w:firstLine="851"/>
        <w:jc w:val="both"/>
        <w:rPr>
          <w:rFonts w:ascii="Arial" w:hAnsi="Arial" w:cs="Arial"/>
          <w:b/>
        </w:rPr>
      </w:pPr>
      <w:r w:rsidRPr="00526894">
        <w:rPr>
          <w:rFonts w:ascii="Arial" w:hAnsi="Arial" w:cs="Arial"/>
          <w:b/>
        </w:rPr>
        <w:t>b) ocena zgodności działań</w:t>
      </w:r>
      <w:r w:rsidR="00B2660C" w:rsidRPr="00526894">
        <w:rPr>
          <w:rFonts w:ascii="Arial" w:hAnsi="Arial" w:cs="Arial"/>
          <w:b/>
        </w:rPr>
        <w:t xml:space="preserve"> UE, o których mowa w dokumen</w:t>
      </w:r>
      <w:r w:rsidR="0094614B" w:rsidRPr="00526894">
        <w:rPr>
          <w:rFonts w:ascii="Arial" w:hAnsi="Arial" w:cs="Arial"/>
          <w:b/>
        </w:rPr>
        <w:t>cie</w:t>
      </w:r>
      <w:r w:rsidRPr="00526894">
        <w:rPr>
          <w:rFonts w:ascii="Arial" w:hAnsi="Arial" w:cs="Arial"/>
          <w:b/>
        </w:rPr>
        <w:t xml:space="preserve"> UE,</w:t>
      </w:r>
      <w:r w:rsidR="00D6350E">
        <w:rPr>
          <w:rFonts w:ascii="Arial" w:hAnsi="Arial" w:cs="Arial"/>
          <w:b/>
        </w:rPr>
        <w:t xml:space="preserve"> </w:t>
      </w:r>
      <w:r w:rsidRPr="00526894">
        <w:rPr>
          <w:rFonts w:ascii="Arial" w:hAnsi="Arial" w:cs="Arial"/>
          <w:b/>
        </w:rPr>
        <w:t>z</w:t>
      </w:r>
      <w:r w:rsidR="00D6350E">
        <w:rPr>
          <w:rFonts w:ascii="Arial" w:hAnsi="Arial" w:cs="Arial"/>
          <w:b/>
        </w:rPr>
        <w:t> </w:t>
      </w:r>
      <w:r w:rsidRPr="00526894">
        <w:rPr>
          <w:rFonts w:ascii="Arial" w:hAnsi="Arial" w:cs="Arial"/>
          <w:b/>
        </w:rPr>
        <w:t xml:space="preserve">zasadą pomocniczości </w:t>
      </w:r>
    </w:p>
    <w:p w14:paraId="1744BFE0" w14:textId="6EA44DA9" w:rsidR="00B2660C" w:rsidRPr="00526894" w:rsidRDefault="000303D5" w:rsidP="0008556A">
      <w:pPr>
        <w:spacing w:line="360" w:lineRule="auto"/>
        <w:ind w:firstLine="851"/>
        <w:jc w:val="both"/>
        <w:rPr>
          <w:rFonts w:ascii="Arial" w:hAnsi="Arial" w:cs="Arial"/>
        </w:rPr>
      </w:pPr>
      <w:r w:rsidRPr="000303D5">
        <w:rPr>
          <w:rFonts w:ascii="Arial" w:hAnsi="Arial" w:cs="Arial"/>
          <w:color w:val="000000"/>
        </w:rPr>
        <w:t>Przedłożony d</w:t>
      </w:r>
      <w:r w:rsidR="00534F91" w:rsidRPr="000303D5">
        <w:rPr>
          <w:rFonts w:ascii="Arial" w:hAnsi="Arial" w:cs="Arial"/>
          <w:color w:val="000000"/>
        </w:rPr>
        <w:t xml:space="preserve">okument </w:t>
      </w:r>
      <w:r w:rsidRPr="000303D5">
        <w:rPr>
          <w:rFonts w:ascii="Arial" w:hAnsi="Arial" w:cs="Arial"/>
          <w:color w:val="000000"/>
        </w:rPr>
        <w:t xml:space="preserve">(komunikat Komisji) </w:t>
      </w:r>
      <w:r w:rsidR="00534F91" w:rsidRPr="000303D5">
        <w:rPr>
          <w:rFonts w:ascii="Arial" w:hAnsi="Arial" w:cs="Arial"/>
          <w:color w:val="000000"/>
        </w:rPr>
        <w:t>nie podlega ocenie co do zgodności z zasadą pomocniczości w</w:t>
      </w:r>
      <w:r w:rsidRPr="000303D5">
        <w:rPr>
          <w:rFonts w:ascii="Arial" w:hAnsi="Arial" w:cs="Arial"/>
          <w:color w:val="000000"/>
        </w:rPr>
        <w:t xml:space="preserve"> </w:t>
      </w:r>
      <w:r w:rsidR="00534F91" w:rsidRPr="000303D5">
        <w:rPr>
          <w:rFonts w:ascii="Arial" w:hAnsi="Arial" w:cs="Arial"/>
          <w:color w:val="000000"/>
        </w:rPr>
        <w:t xml:space="preserve">trybie </w:t>
      </w:r>
      <w:r w:rsidR="00524A87" w:rsidRPr="000303D5">
        <w:rPr>
          <w:rFonts w:ascii="Arial" w:hAnsi="Arial" w:cs="Arial"/>
          <w:color w:val="000000"/>
        </w:rPr>
        <w:t>p</w:t>
      </w:r>
      <w:r w:rsidR="00534F91" w:rsidRPr="000303D5">
        <w:rPr>
          <w:rFonts w:ascii="Arial" w:hAnsi="Arial" w:cs="Arial"/>
          <w:color w:val="000000"/>
        </w:rPr>
        <w:t xml:space="preserve">rotokołu </w:t>
      </w:r>
      <w:r w:rsidR="00524A87" w:rsidRPr="000303D5">
        <w:rPr>
          <w:rFonts w:ascii="Arial" w:hAnsi="Arial" w:cs="Arial"/>
          <w:color w:val="000000"/>
        </w:rPr>
        <w:t>(</w:t>
      </w:r>
      <w:r w:rsidR="00534F91" w:rsidRPr="000303D5">
        <w:rPr>
          <w:rFonts w:ascii="Arial" w:hAnsi="Arial" w:cs="Arial"/>
          <w:color w:val="000000"/>
        </w:rPr>
        <w:t>nr 2</w:t>
      </w:r>
      <w:r w:rsidR="00524A87" w:rsidRPr="000303D5">
        <w:rPr>
          <w:rFonts w:ascii="Arial" w:hAnsi="Arial" w:cs="Arial"/>
          <w:color w:val="000000"/>
        </w:rPr>
        <w:t>)</w:t>
      </w:r>
      <w:r w:rsidR="00524A87" w:rsidRPr="000303D5">
        <w:t xml:space="preserve"> </w:t>
      </w:r>
      <w:r w:rsidR="00524A87" w:rsidRPr="000303D5">
        <w:rPr>
          <w:rFonts w:ascii="Arial" w:hAnsi="Arial" w:cs="Arial"/>
          <w:color w:val="000000"/>
        </w:rPr>
        <w:t>w sprawie stosowania zasad pomocniczości i</w:t>
      </w:r>
      <w:r w:rsidRPr="000303D5">
        <w:rPr>
          <w:rFonts w:ascii="Arial" w:hAnsi="Arial" w:cs="Arial"/>
          <w:color w:val="000000"/>
        </w:rPr>
        <w:t xml:space="preserve"> </w:t>
      </w:r>
      <w:r w:rsidR="00524A87" w:rsidRPr="000303D5">
        <w:rPr>
          <w:rFonts w:ascii="Arial" w:hAnsi="Arial" w:cs="Arial"/>
          <w:color w:val="000000"/>
        </w:rPr>
        <w:t>proporcjonalności</w:t>
      </w:r>
      <w:r w:rsidR="00534F91" w:rsidRPr="000303D5">
        <w:rPr>
          <w:rFonts w:ascii="Arial" w:hAnsi="Arial" w:cs="Arial"/>
          <w:color w:val="000000"/>
        </w:rPr>
        <w:t xml:space="preserve">, </w:t>
      </w:r>
      <w:r w:rsidR="005E645A" w:rsidRPr="000303D5">
        <w:rPr>
          <w:rFonts w:ascii="Arial" w:hAnsi="Arial" w:cs="Arial"/>
          <w:color w:val="000000"/>
        </w:rPr>
        <w:t>ponieważ</w:t>
      </w:r>
      <w:r w:rsidR="00534F91" w:rsidRPr="000303D5">
        <w:rPr>
          <w:rFonts w:ascii="Arial" w:hAnsi="Arial" w:cs="Arial"/>
          <w:color w:val="000000"/>
        </w:rPr>
        <w:t xml:space="preserve"> nie jest projektem aktu ustawodawczego UE.</w:t>
      </w:r>
    </w:p>
    <w:p w14:paraId="61F6F202" w14:textId="187FDF21" w:rsidR="0041692C" w:rsidRPr="00526894" w:rsidRDefault="0041692C" w:rsidP="00D6350E">
      <w:pPr>
        <w:spacing w:before="120" w:line="360" w:lineRule="auto"/>
        <w:ind w:firstLine="851"/>
        <w:jc w:val="both"/>
        <w:rPr>
          <w:rFonts w:ascii="Arial" w:hAnsi="Arial" w:cs="Arial"/>
          <w:b/>
        </w:rPr>
      </w:pPr>
      <w:r w:rsidRPr="00526894">
        <w:rPr>
          <w:rFonts w:ascii="Arial" w:hAnsi="Arial" w:cs="Arial"/>
          <w:b/>
        </w:rPr>
        <w:t xml:space="preserve">c) ustosunkowanie się do </w:t>
      </w:r>
      <w:r w:rsidR="0094614B" w:rsidRPr="00526894">
        <w:rPr>
          <w:rFonts w:ascii="Arial" w:hAnsi="Arial" w:cs="Arial"/>
          <w:b/>
        </w:rPr>
        <w:t>informacji</w:t>
      </w:r>
      <w:r w:rsidRPr="00526894">
        <w:rPr>
          <w:rFonts w:ascii="Arial" w:hAnsi="Arial" w:cs="Arial"/>
          <w:b/>
        </w:rPr>
        <w:t xml:space="preserve"> Rady</w:t>
      </w:r>
      <w:r w:rsidR="00B2660C" w:rsidRPr="00526894">
        <w:rPr>
          <w:rFonts w:ascii="Arial" w:hAnsi="Arial" w:cs="Arial"/>
          <w:b/>
        </w:rPr>
        <w:t xml:space="preserve"> Ministrów na temat opiniowan</w:t>
      </w:r>
      <w:r w:rsidR="0094614B" w:rsidRPr="00526894">
        <w:rPr>
          <w:rFonts w:ascii="Arial" w:hAnsi="Arial" w:cs="Arial"/>
          <w:b/>
        </w:rPr>
        <w:t>ego</w:t>
      </w:r>
      <w:r w:rsidR="00B2660C" w:rsidRPr="00526894">
        <w:rPr>
          <w:rFonts w:ascii="Arial" w:hAnsi="Arial" w:cs="Arial"/>
          <w:b/>
        </w:rPr>
        <w:t xml:space="preserve"> dokument</w:t>
      </w:r>
      <w:r w:rsidR="0094614B" w:rsidRPr="00526894">
        <w:rPr>
          <w:rFonts w:ascii="Arial" w:hAnsi="Arial" w:cs="Arial"/>
          <w:b/>
        </w:rPr>
        <w:t>u</w:t>
      </w:r>
      <w:r w:rsidRPr="00526894">
        <w:rPr>
          <w:rFonts w:ascii="Arial" w:hAnsi="Arial" w:cs="Arial"/>
          <w:b/>
        </w:rPr>
        <w:t xml:space="preserve"> UE</w:t>
      </w:r>
    </w:p>
    <w:p w14:paraId="737FA11C" w14:textId="7C157948" w:rsidR="000303D5" w:rsidRDefault="000303D5" w:rsidP="000303D5">
      <w:pPr>
        <w:autoSpaceDN w:val="0"/>
        <w:spacing w:line="360" w:lineRule="auto"/>
        <w:ind w:firstLine="851"/>
        <w:jc w:val="both"/>
        <w:rPr>
          <w:rFonts w:ascii="Arial" w:hAnsi="Arial" w:cs="Arial"/>
        </w:rPr>
      </w:pPr>
      <w:r>
        <w:rPr>
          <w:rFonts w:ascii="Arial" w:hAnsi="Arial" w:cs="Arial"/>
        </w:rPr>
        <w:t xml:space="preserve">Informacja Rady Ministrów </w:t>
      </w:r>
      <w:r w:rsidR="00E25D97">
        <w:rPr>
          <w:rFonts w:ascii="Arial" w:hAnsi="Arial" w:cs="Arial"/>
        </w:rPr>
        <w:t xml:space="preserve">dotycząca </w:t>
      </w:r>
      <w:r w:rsidR="007A4E14">
        <w:rPr>
          <w:rFonts w:ascii="Arial" w:hAnsi="Arial" w:cs="Arial"/>
        </w:rPr>
        <w:t xml:space="preserve">opiniowanego </w:t>
      </w:r>
      <w:r w:rsidR="00E25D97">
        <w:rPr>
          <w:rFonts w:ascii="Arial" w:hAnsi="Arial" w:cs="Arial"/>
        </w:rPr>
        <w:t xml:space="preserve">komunikatu </w:t>
      </w:r>
      <w:r>
        <w:rPr>
          <w:rFonts w:ascii="Arial" w:hAnsi="Arial" w:cs="Arial"/>
        </w:rPr>
        <w:t>został</w:t>
      </w:r>
      <w:r w:rsidR="007A4E14">
        <w:rPr>
          <w:rFonts w:ascii="Arial" w:hAnsi="Arial" w:cs="Arial"/>
        </w:rPr>
        <w:t>a</w:t>
      </w:r>
      <w:r>
        <w:rPr>
          <w:rFonts w:ascii="Arial" w:hAnsi="Arial" w:cs="Arial"/>
        </w:rPr>
        <w:t xml:space="preserve"> przygotowan</w:t>
      </w:r>
      <w:r w:rsidR="007A4E14">
        <w:rPr>
          <w:rFonts w:ascii="Arial" w:hAnsi="Arial" w:cs="Arial"/>
        </w:rPr>
        <w:t>a</w:t>
      </w:r>
      <w:r>
        <w:rPr>
          <w:rFonts w:ascii="Arial" w:hAnsi="Arial" w:cs="Arial"/>
        </w:rPr>
        <w:t xml:space="preserve"> w sposób merytoryczny i wyczerpujący. Oceniając dokument </w:t>
      </w:r>
      <w:r w:rsidR="00E25D97">
        <w:rPr>
          <w:rFonts w:ascii="Arial" w:hAnsi="Arial" w:cs="Arial"/>
        </w:rPr>
        <w:t xml:space="preserve">UE </w:t>
      </w:r>
      <w:r w:rsidR="007A4E14">
        <w:rPr>
          <w:rFonts w:ascii="Arial" w:hAnsi="Arial" w:cs="Arial"/>
        </w:rPr>
        <w:t xml:space="preserve">Rada Ministrów </w:t>
      </w:r>
      <w:r>
        <w:rPr>
          <w:rFonts w:ascii="Arial" w:hAnsi="Arial" w:cs="Arial"/>
        </w:rPr>
        <w:t>przedstawił</w:t>
      </w:r>
      <w:r w:rsidR="007A4E14">
        <w:rPr>
          <w:rFonts w:ascii="Arial" w:hAnsi="Arial" w:cs="Arial"/>
        </w:rPr>
        <w:t>a</w:t>
      </w:r>
      <w:r>
        <w:rPr>
          <w:rFonts w:ascii="Arial" w:hAnsi="Arial" w:cs="Arial"/>
        </w:rPr>
        <w:t xml:space="preserve"> obszerne uwagi, które nie negują treści komunikatu, ale też zachowują odrębną ocenę strony polskiej czy wskazują na potrzebę podjęcia dodatkowych działań przez Komisję</w:t>
      </w:r>
      <w:r w:rsidR="007A4E14">
        <w:rPr>
          <w:rFonts w:ascii="Arial" w:hAnsi="Arial" w:cs="Arial"/>
        </w:rPr>
        <w:t xml:space="preserve"> Europejską</w:t>
      </w:r>
      <w:r>
        <w:rPr>
          <w:rFonts w:ascii="Arial" w:hAnsi="Arial" w:cs="Arial"/>
        </w:rPr>
        <w:t xml:space="preserve">. M.in. zdaniem </w:t>
      </w:r>
      <w:r w:rsidR="007A4E14">
        <w:rPr>
          <w:rFonts w:ascii="Arial" w:hAnsi="Arial" w:cs="Arial"/>
        </w:rPr>
        <w:t xml:space="preserve">Rady Ministrów </w:t>
      </w:r>
      <w:r>
        <w:rPr>
          <w:rFonts w:ascii="Arial" w:hAnsi="Arial" w:cs="Arial"/>
        </w:rPr>
        <w:t xml:space="preserve">zbyt ogólnikowo przedstawiono przyczyny wzrostu cen, a Komisja </w:t>
      </w:r>
      <w:r w:rsidR="007A4E14">
        <w:rPr>
          <w:rFonts w:ascii="Arial" w:hAnsi="Arial" w:cs="Arial"/>
        </w:rPr>
        <w:t xml:space="preserve">Europejska </w:t>
      </w:r>
      <w:r>
        <w:rPr>
          <w:rFonts w:ascii="Arial" w:hAnsi="Arial" w:cs="Arial"/>
        </w:rPr>
        <w:t xml:space="preserve">powinna podjąć pilne działania w zakresie przepisów dotyczących funkcjonowania rynku gazu, w pełni egzekwować </w:t>
      </w:r>
      <w:r w:rsidRPr="00080FE5">
        <w:rPr>
          <w:rFonts w:ascii="Arial" w:hAnsi="Arial" w:cs="Arial"/>
        </w:rPr>
        <w:t>prawo unijne wobec istniejącej i przyszłej infrastruktury importu gazu do UE</w:t>
      </w:r>
      <w:r>
        <w:rPr>
          <w:rFonts w:ascii="Arial" w:hAnsi="Arial" w:cs="Arial"/>
        </w:rPr>
        <w:t>,</w:t>
      </w:r>
      <w:r w:rsidRPr="00080FE5">
        <w:rPr>
          <w:rFonts w:ascii="Arial" w:hAnsi="Arial" w:cs="Arial"/>
        </w:rPr>
        <w:t xml:space="preserve"> </w:t>
      </w:r>
      <w:r>
        <w:rPr>
          <w:rFonts w:ascii="Arial" w:hAnsi="Arial" w:cs="Arial"/>
        </w:rPr>
        <w:t xml:space="preserve">czy </w:t>
      </w:r>
      <w:r w:rsidRPr="00080FE5">
        <w:rPr>
          <w:rFonts w:ascii="Arial" w:hAnsi="Arial" w:cs="Arial"/>
        </w:rPr>
        <w:t>podjąć zdecydowane kroki zmierzające do eliminacji naruszeń unijnego prawa konkurencji</w:t>
      </w:r>
      <w:r>
        <w:rPr>
          <w:rFonts w:ascii="Arial" w:hAnsi="Arial" w:cs="Arial"/>
        </w:rPr>
        <w:t>.</w:t>
      </w:r>
    </w:p>
    <w:p w14:paraId="3CD5860C" w14:textId="735F10B7" w:rsidR="000303D5" w:rsidRDefault="000303D5" w:rsidP="000303D5">
      <w:pPr>
        <w:autoSpaceDN w:val="0"/>
        <w:spacing w:line="360" w:lineRule="auto"/>
        <w:ind w:firstLine="851"/>
        <w:jc w:val="both"/>
        <w:rPr>
          <w:rFonts w:ascii="Arial" w:hAnsi="Arial" w:cs="Arial"/>
        </w:rPr>
      </w:pPr>
      <w:r>
        <w:rPr>
          <w:rFonts w:ascii="Arial" w:eastAsia="Times New Roman" w:hAnsi="Arial" w:cs="Arial"/>
          <w:bCs/>
          <w:iCs/>
        </w:rPr>
        <w:t xml:space="preserve">Biuro Analiz Sejmowych nie zgłasza zastrzeżeń do przedłożonej informacji Rady Ministrów </w:t>
      </w:r>
      <w:r w:rsidR="007A4E14">
        <w:rPr>
          <w:rFonts w:ascii="Arial" w:eastAsia="Times New Roman" w:hAnsi="Arial" w:cs="Arial"/>
          <w:bCs/>
          <w:iCs/>
        </w:rPr>
        <w:t>dotyczącej komunikatu Komisji</w:t>
      </w:r>
      <w:r>
        <w:rPr>
          <w:rFonts w:ascii="Arial" w:eastAsia="Times New Roman" w:hAnsi="Arial" w:cs="Arial"/>
          <w:bCs/>
          <w:iCs/>
        </w:rPr>
        <w:t>.</w:t>
      </w:r>
    </w:p>
    <w:p w14:paraId="0E2605E5" w14:textId="7FA66B0E" w:rsidR="000303D5" w:rsidRDefault="000303D5" w:rsidP="000303D5">
      <w:pPr>
        <w:spacing w:before="120" w:line="360" w:lineRule="auto"/>
        <w:ind w:firstLine="851"/>
        <w:jc w:val="both"/>
        <w:rPr>
          <w:rFonts w:ascii="Arial" w:eastAsia="Times New Roman" w:hAnsi="Arial" w:cs="Arial"/>
          <w:bCs/>
          <w:iCs/>
        </w:rPr>
      </w:pPr>
    </w:p>
    <w:p w14:paraId="793C2E35" w14:textId="6583D8EE" w:rsidR="00F26BA0" w:rsidRPr="00526894" w:rsidRDefault="00F26BA0" w:rsidP="000303D5">
      <w:pPr>
        <w:spacing w:before="120" w:line="360" w:lineRule="auto"/>
        <w:ind w:firstLine="851"/>
        <w:jc w:val="both"/>
        <w:rPr>
          <w:rFonts w:ascii="Arial" w:hAnsi="Arial" w:cs="Arial"/>
          <w:b/>
          <w:bCs/>
        </w:rPr>
      </w:pPr>
      <w:r w:rsidRPr="00526894">
        <w:rPr>
          <w:rFonts w:ascii="Arial" w:hAnsi="Arial" w:cs="Arial"/>
          <w:b/>
          <w:bCs/>
        </w:rPr>
        <w:t>II. Opinia prawna</w:t>
      </w:r>
    </w:p>
    <w:p w14:paraId="14C5AA4E" w14:textId="15E63A7C" w:rsidR="00F26BA0" w:rsidRPr="00526894" w:rsidRDefault="00F26BA0" w:rsidP="00F26BA0">
      <w:pPr>
        <w:spacing w:line="360" w:lineRule="auto"/>
        <w:ind w:firstLine="851"/>
        <w:jc w:val="both"/>
        <w:rPr>
          <w:rFonts w:ascii="Arial" w:hAnsi="Arial" w:cs="Arial"/>
          <w:b/>
          <w:szCs w:val="22"/>
        </w:rPr>
      </w:pPr>
      <w:r w:rsidRPr="00526894">
        <w:rPr>
          <w:rFonts w:ascii="Arial" w:hAnsi="Arial" w:cs="Arial"/>
          <w:b/>
          <w:szCs w:val="22"/>
        </w:rPr>
        <w:t>1. Podstawa prawna dokumentu UE</w:t>
      </w:r>
    </w:p>
    <w:p w14:paraId="346A3A08" w14:textId="07708F3E" w:rsidR="00F26BA0" w:rsidRDefault="00F26BA0" w:rsidP="00A47D31">
      <w:pPr>
        <w:spacing w:line="360" w:lineRule="auto"/>
        <w:ind w:firstLine="851"/>
        <w:jc w:val="both"/>
        <w:rPr>
          <w:rFonts w:ascii="Arial" w:hAnsi="Arial" w:cs="Arial"/>
          <w:bCs/>
          <w:kern w:val="3"/>
          <w:lang w:eastAsia="zh-CN" w:bidi="hi-IN"/>
        </w:rPr>
      </w:pPr>
      <w:r w:rsidRPr="00526894">
        <w:rPr>
          <w:rFonts w:ascii="Arial" w:hAnsi="Arial" w:cs="Arial"/>
          <w:color w:val="000000"/>
        </w:rPr>
        <w:t>Komunikat</w:t>
      </w:r>
      <w:r w:rsidRPr="00526894">
        <w:rPr>
          <w:rFonts w:ascii="Arial" w:hAnsi="Arial" w:cs="Arial"/>
          <w:lang w:eastAsia="ar-SA"/>
        </w:rPr>
        <w:t xml:space="preserve"> Komisji jest dokumentem UE, który nie jest projektem aktu prawnego UE. Zgodnie z art. 1 protokołu (nr 1) w sprawie roli parlamentów narodowych w Unii Europejskiej komunikat jest dokumentem konsultacyjnym Komisji Europejskiej. </w:t>
      </w:r>
      <w:r w:rsidR="00265BE5" w:rsidRPr="00265BE5">
        <w:rPr>
          <w:rFonts w:ascii="Arial" w:hAnsi="Arial" w:cs="Arial"/>
          <w:lang w:eastAsia="ar-SA"/>
        </w:rPr>
        <w:t xml:space="preserve">W przedłożonym komunikacie Komisja przedstawiła </w:t>
      </w:r>
      <w:r w:rsidR="00A712C9" w:rsidRPr="00A712C9">
        <w:rPr>
          <w:rFonts w:ascii="Arial" w:hAnsi="Arial" w:cs="Arial"/>
          <w:lang w:eastAsia="ar-SA"/>
        </w:rPr>
        <w:t>propozycje środków krótkoterminowych</w:t>
      </w:r>
      <w:r w:rsidR="00A712C9">
        <w:rPr>
          <w:rFonts w:ascii="Arial" w:hAnsi="Arial" w:cs="Arial"/>
          <w:lang w:eastAsia="ar-SA"/>
        </w:rPr>
        <w:t xml:space="preserve"> oraz </w:t>
      </w:r>
      <w:r w:rsidR="00A712C9" w:rsidRPr="00A712C9">
        <w:rPr>
          <w:rFonts w:ascii="Arial" w:hAnsi="Arial" w:cs="Arial"/>
          <w:lang w:eastAsia="ar-SA"/>
        </w:rPr>
        <w:t>skoordynowanych działań, których podjęcie rozważa w perspektywie średnioterminowej, aby zapewnić lepszą gotowość na wahania cen gazu, przy jednoczesnym ograniczaniu zależności UE od paliw kopalnych</w:t>
      </w:r>
      <w:r w:rsidR="00A47D31" w:rsidRPr="00A47D31">
        <w:rPr>
          <w:rFonts w:ascii="Arial" w:hAnsi="Arial" w:cs="Arial"/>
          <w:lang w:eastAsia="ar-SA"/>
        </w:rPr>
        <w:t>.</w:t>
      </w:r>
      <w:r w:rsidR="00A47D31">
        <w:rPr>
          <w:rFonts w:ascii="Arial" w:hAnsi="Arial" w:cs="Arial"/>
          <w:lang w:eastAsia="ar-SA"/>
        </w:rPr>
        <w:t xml:space="preserve"> </w:t>
      </w:r>
      <w:r w:rsidR="00D07A94" w:rsidRPr="00D07A94">
        <w:rPr>
          <w:rFonts w:ascii="Arial" w:eastAsia="Times New Roman" w:hAnsi="Arial" w:cs="Arial"/>
          <w:bCs/>
        </w:rPr>
        <w:t xml:space="preserve">Zagadnienia te są związane z dziedzinami objętymi zakresem kompetencji dzielonych między Unią Europejską a państwami członkowskimi, takimi jak energia (art. 4 ust. 2 lit. i oraz art. 194 Traktatu o funkcjonowaniu Unii Europejskiej, dalej: TfUE), sieci transeuropejskie (art. 170 i 171 TfUE) oraz środowisko naturalne (art. 4 ust. 2 lit. e oraz art. 191–193 TfUE). </w:t>
      </w:r>
      <w:r w:rsidR="00E14A92" w:rsidRPr="00E14A92">
        <w:rPr>
          <w:rFonts w:ascii="Arial" w:eastAsia="Times New Roman" w:hAnsi="Arial" w:cs="Arial"/>
          <w:bCs/>
          <w:kern w:val="3"/>
          <w:lang w:eastAsia="zh-CN" w:bidi="hi-IN"/>
        </w:rPr>
        <w:t xml:space="preserve">Zgodnie z art. 3 ust. 6 Traktatu o Unii Europejskiej Unia dąży do osiągniecia swoich celów właściwymi środkami odpowiednio do kompetencji przyznanych jej na mocy Traktatów. </w:t>
      </w:r>
      <w:r w:rsidR="00E14A92" w:rsidRPr="00E14A92">
        <w:rPr>
          <w:rFonts w:ascii="Arial" w:hAnsi="Arial" w:cs="Arial"/>
          <w:bCs/>
          <w:kern w:val="3"/>
          <w:lang w:eastAsia="zh-CN" w:bidi="hi-IN"/>
        </w:rPr>
        <w:t>Brak jest przesłanek, które uniemożliwiałyby Komisji Europejskiej wydanie komunikatu w</w:t>
      </w:r>
      <w:r w:rsidR="00D07A94">
        <w:rPr>
          <w:rFonts w:ascii="Arial" w:hAnsi="Arial" w:cs="Arial"/>
          <w:bCs/>
          <w:kern w:val="3"/>
          <w:lang w:eastAsia="zh-CN" w:bidi="hi-IN"/>
        </w:rPr>
        <w:t> </w:t>
      </w:r>
      <w:r w:rsidR="00E14A92" w:rsidRPr="00E14A92">
        <w:rPr>
          <w:rFonts w:ascii="Arial" w:hAnsi="Arial" w:cs="Arial"/>
          <w:bCs/>
          <w:kern w:val="3"/>
          <w:lang w:eastAsia="zh-CN" w:bidi="hi-IN"/>
        </w:rPr>
        <w:t>omawianej kwestii.</w:t>
      </w:r>
      <w:r w:rsidR="00E14A92">
        <w:rPr>
          <w:rFonts w:ascii="Arial" w:hAnsi="Arial" w:cs="Arial"/>
          <w:bCs/>
          <w:kern w:val="3"/>
          <w:lang w:eastAsia="zh-CN" w:bidi="hi-IN"/>
        </w:rPr>
        <w:t xml:space="preserve"> </w:t>
      </w:r>
    </w:p>
    <w:p w14:paraId="7C69201A" w14:textId="77777777" w:rsidR="00E14A92" w:rsidRPr="00526894" w:rsidRDefault="00E14A92" w:rsidP="00E14A92">
      <w:pPr>
        <w:spacing w:line="360" w:lineRule="auto"/>
        <w:ind w:firstLine="851"/>
        <w:jc w:val="both"/>
        <w:rPr>
          <w:rFonts w:ascii="Arial" w:hAnsi="Arial" w:cs="Arial"/>
          <w:b/>
          <w:spacing w:val="-2"/>
        </w:rPr>
      </w:pPr>
    </w:p>
    <w:p w14:paraId="254C308F" w14:textId="77777777" w:rsidR="00D8419C" w:rsidRPr="00526894" w:rsidRDefault="00D8419C" w:rsidP="00D8419C">
      <w:pPr>
        <w:spacing w:line="360" w:lineRule="auto"/>
        <w:ind w:firstLine="851"/>
        <w:jc w:val="both"/>
        <w:rPr>
          <w:rFonts w:ascii="Arial" w:hAnsi="Arial" w:cs="Arial"/>
          <w:b/>
          <w:kern w:val="3"/>
        </w:rPr>
      </w:pPr>
      <w:r w:rsidRPr="00526894">
        <w:rPr>
          <w:rFonts w:ascii="Arial" w:hAnsi="Arial" w:cs="Arial"/>
          <w:b/>
          <w:kern w:val="3"/>
        </w:rPr>
        <w:t xml:space="preserve">2. </w:t>
      </w:r>
      <w:bookmarkStart w:id="0" w:name="_Hlk45788557"/>
      <w:r w:rsidRPr="00526894">
        <w:rPr>
          <w:rFonts w:ascii="Arial" w:hAnsi="Arial" w:cs="Arial"/>
          <w:b/>
          <w:kern w:val="3"/>
        </w:rPr>
        <w:t>Skutki prawne dokumentu UE</w:t>
      </w:r>
      <w:bookmarkEnd w:id="0"/>
    </w:p>
    <w:p w14:paraId="76EFB503" w14:textId="7B7F0D02" w:rsidR="00D8419C" w:rsidRPr="00526894" w:rsidRDefault="00D8419C" w:rsidP="00D8419C">
      <w:pPr>
        <w:spacing w:line="360" w:lineRule="auto"/>
        <w:ind w:firstLine="851"/>
        <w:jc w:val="both"/>
        <w:rPr>
          <w:rFonts w:ascii="Arial" w:hAnsi="Arial" w:cs="Arial"/>
          <w:spacing w:val="-2"/>
          <w:kern w:val="3"/>
        </w:rPr>
      </w:pPr>
      <w:r w:rsidRPr="00526894">
        <w:rPr>
          <w:rFonts w:ascii="Arial" w:hAnsi="Arial" w:cs="Arial"/>
          <w:spacing w:val="-2"/>
          <w:kern w:val="3"/>
        </w:rPr>
        <w:t xml:space="preserve">Komunikat </w:t>
      </w:r>
      <w:r w:rsidRPr="00526894">
        <w:rPr>
          <w:rFonts w:ascii="Arial" w:hAnsi="Arial" w:cs="Arial"/>
          <w:color w:val="000000"/>
        </w:rPr>
        <w:t>jako</w:t>
      </w:r>
      <w:r w:rsidRPr="00526894">
        <w:rPr>
          <w:rFonts w:ascii="Arial" w:hAnsi="Arial" w:cs="Arial"/>
          <w:bCs/>
          <w:spacing w:val="-2"/>
          <w:kern w:val="3"/>
        </w:rPr>
        <w:t xml:space="preserve"> dokument UE niebędący projektem aktu prawnego UE</w:t>
      </w:r>
      <w:r w:rsidRPr="00526894">
        <w:rPr>
          <w:rFonts w:ascii="Arial" w:hAnsi="Arial" w:cs="Arial"/>
          <w:spacing w:val="-2"/>
          <w:kern w:val="3"/>
        </w:rPr>
        <w:t xml:space="preserve"> nie</w:t>
      </w:r>
      <w:r w:rsidR="002679EA">
        <w:rPr>
          <w:rFonts w:ascii="Arial" w:hAnsi="Arial" w:cs="Arial"/>
          <w:spacing w:val="-2"/>
          <w:kern w:val="3"/>
        </w:rPr>
        <w:t> </w:t>
      </w:r>
      <w:r w:rsidRPr="00526894">
        <w:rPr>
          <w:rFonts w:ascii="Arial" w:hAnsi="Arial" w:cs="Arial"/>
          <w:spacing w:val="-2"/>
          <w:kern w:val="3"/>
        </w:rPr>
        <w:t>wywołuje skutków prawnych zarówno w świetle prawa polskiego, jak i prawa unijnego.</w:t>
      </w:r>
    </w:p>
    <w:p w14:paraId="3FFE994F" w14:textId="77777777" w:rsidR="00D8419C" w:rsidRPr="00526894" w:rsidRDefault="00D8419C">
      <w:pPr>
        <w:tabs>
          <w:tab w:val="left" w:pos="-4320"/>
          <w:tab w:val="left" w:pos="-3600"/>
        </w:tabs>
        <w:suppressAutoHyphens/>
        <w:spacing w:line="360" w:lineRule="auto"/>
        <w:jc w:val="both"/>
        <w:rPr>
          <w:rFonts w:ascii="Arial" w:hAnsi="Arial" w:cs="Arial"/>
          <w:b/>
          <w:spacing w:val="-2"/>
        </w:rPr>
      </w:pPr>
    </w:p>
    <w:p w14:paraId="209194B1" w14:textId="77777777" w:rsidR="00F26BA0" w:rsidRPr="00526894" w:rsidRDefault="00F26BA0" w:rsidP="00F26BA0">
      <w:pPr>
        <w:spacing w:line="360" w:lineRule="auto"/>
        <w:ind w:firstLine="851"/>
        <w:jc w:val="both"/>
        <w:rPr>
          <w:rFonts w:ascii="Arial" w:hAnsi="Arial" w:cs="Arial"/>
          <w:b/>
          <w:szCs w:val="22"/>
        </w:rPr>
      </w:pPr>
      <w:r w:rsidRPr="00526894">
        <w:rPr>
          <w:rFonts w:ascii="Arial" w:hAnsi="Arial" w:cs="Arial"/>
          <w:b/>
          <w:szCs w:val="22"/>
        </w:rPr>
        <w:t>3. Kwestie proceduralne</w:t>
      </w:r>
    </w:p>
    <w:p w14:paraId="0C0215FB" w14:textId="77777777" w:rsidR="00F26BA0" w:rsidRPr="00526894" w:rsidRDefault="00F26BA0" w:rsidP="00F26BA0">
      <w:pPr>
        <w:spacing w:line="360" w:lineRule="auto"/>
        <w:ind w:firstLine="851"/>
        <w:jc w:val="both"/>
        <w:rPr>
          <w:rFonts w:ascii="Arial" w:hAnsi="Arial" w:cs="Arial"/>
          <w:b/>
          <w:szCs w:val="22"/>
        </w:rPr>
      </w:pPr>
      <w:r w:rsidRPr="00526894">
        <w:rPr>
          <w:rFonts w:ascii="Arial" w:hAnsi="Arial" w:cs="Arial"/>
          <w:b/>
          <w:szCs w:val="22"/>
        </w:rPr>
        <w:t>a) procedura przyjmowania dokumentu UE</w:t>
      </w:r>
    </w:p>
    <w:p w14:paraId="5A95CB27" w14:textId="51E86931" w:rsidR="00F26BA0" w:rsidRPr="00526894" w:rsidRDefault="00F26BA0" w:rsidP="00F26BA0">
      <w:pPr>
        <w:autoSpaceDE w:val="0"/>
        <w:autoSpaceDN w:val="0"/>
        <w:spacing w:line="360" w:lineRule="auto"/>
        <w:ind w:firstLine="851"/>
        <w:jc w:val="both"/>
        <w:rPr>
          <w:rFonts w:ascii="Arial" w:hAnsi="Arial" w:cs="Arial"/>
          <w:szCs w:val="20"/>
        </w:rPr>
      </w:pPr>
      <w:r w:rsidRPr="00526894">
        <w:rPr>
          <w:rFonts w:ascii="Arial" w:hAnsi="Arial" w:cs="Arial"/>
        </w:rPr>
        <w:t xml:space="preserve">Przyjmowanie komunikatu nie jest związane z zachowaniem określonej, wynikającej z prawa traktatowego, procedury. </w:t>
      </w:r>
      <w:r w:rsidRPr="00526894">
        <w:rPr>
          <w:rFonts w:ascii="Arial" w:hAnsi="Arial" w:cs="Arial"/>
          <w:bCs/>
        </w:rPr>
        <w:t>Komunikaty są przekazywane, po ich opublikowaniu, parlamentom narodowym (zgodnie z art. 1 protokołu nr 1</w:t>
      </w:r>
      <w:r w:rsidR="00524A87">
        <w:rPr>
          <w:rFonts w:ascii="Arial" w:hAnsi="Arial" w:cs="Arial"/>
          <w:bCs/>
        </w:rPr>
        <w:t>)</w:t>
      </w:r>
      <w:r w:rsidRPr="00526894">
        <w:rPr>
          <w:rFonts w:ascii="Arial" w:hAnsi="Arial" w:cs="Arial"/>
          <w:bCs/>
        </w:rPr>
        <w:t xml:space="preserve">. </w:t>
      </w:r>
      <w:r w:rsidRPr="00526894">
        <w:rPr>
          <w:rFonts w:ascii="Arial" w:hAnsi="Arial" w:cs="Arial"/>
          <w:szCs w:val="20"/>
        </w:rPr>
        <w:t xml:space="preserve">Komisja Europejska przyjęła omawiany komunikat </w:t>
      </w:r>
      <w:r w:rsidR="00D07A94">
        <w:rPr>
          <w:rFonts w:ascii="Arial" w:hAnsi="Arial" w:cs="Arial"/>
          <w:szCs w:val="20"/>
        </w:rPr>
        <w:t>13 października</w:t>
      </w:r>
      <w:r w:rsidR="00B945FA">
        <w:rPr>
          <w:rFonts w:ascii="Arial" w:hAnsi="Arial" w:cs="Arial"/>
          <w:szCs w:val="20"/>
        </w:rPr>
        <w:t xml:space="preserve"> </w:t>
      </w:r>
      <w:r w:rsidR="00B5291B" w:rsidRPr="00B5291B">
        <w:rPr>
          <w:rFonts w:ascii="Arial" w:hAnsi="Arial" w:cs="Arial"/>
          <w:szCs w:val="20"/>
        </w:rPr>
        <w:t>2021</w:t>
      </w:r>
      <w:r w:rsidR="00B5291B">
        <w:rPr>
          <w:rFonts w:ascii="Arial" w:hAnsi="Arial" w:cs="Arial"/>
          <w:szCs w:val="20"/>
        </w:rPr>
        <w:t xml:space="preserve"> </w:t>
      </w:r>
      <w:r w:rsidRPr="00526894">
        <w:rPr>
          <w:rFonts w:ascii="Arial" w:hAnsi="Arial" w:cs="Arial"/>
          <w:szCs w:val="20"/>
        </w:rPr>
        <w:t xml:space="preserve">r. i </w:t>
      </w:r>
      <w:r w:rsidR="00D07A94">
        <w:rPr>
          <w:rFonts w:ascii="Arial" w:hAnsi="Arial" w:cs="Arial"/>
          <w:szCs w:val="20"/>
        </w:rPr>
        <w:t>tego samego</w:t>
      </w:r>
      <w:r w:rsidR="00B945FA">
        <w:rPr>
          <w:rFonts w:ascii="Arial" w:hAnsi="Arial" w:cs="Arial"/>
          <w:szCs w:val="20"/>
        </w:rPr>
        <w:t xml:space="preserve"> </w:t>
      </w:r>
      <w:r w:rsidRPr="00526894">
        <w:rPr>
          <w:rFonts w:ascii="Arial" w:hAnsi="Arial" w:cs="Arial"/>
          <w:szCs w:val="20"/>
        </w:rPr>
        <w:t>dnia dokument został przekazany Sejmowi w język</w:t>
      </w:r>
      <w:r w:rsidR="00B945FA">
        <w:rPr>
          <w:rFonts w:ascii="Arial" w:hAnsi="Arial" w:cs="Arial"/>
          <w:szCs w:val="20"/>
        </w:rPr>
        <w:t xml:space="preserve">u </w:t>
      </w:r>
      <w:r w:rsidRPr="00526894">
        <w:rPr>
          <w:rFonts w:ascii="Arial" w:hAnsi="Arial" w:cs="Arial"/>
          <w:szCs w:val="20"/>
        </w:rPr>
        <w:t xml:space="preserve">angielskim. </w:t>
      </w:r>
      <w:r w:rsidR="00B945FA">
        <w:rPr>
          <w:rFonts w:ascii="Arial" w:hAnsi="Arial" w:cs="Arial"/>
          <w:szCs w:val="20"/>
        </w:rPr>
        <w:t>1</w:t>
      </w:r>
      <w:r w:rsidR="00D07A94">
        <w:rPr>
          <w:rFonts w:ascii="Arial" w:hAnsi="Arial" w:cs="Arial"/>
          <w:szCs w:val="20"/>
        </w:rPr>
        <w:t>5</w:t>
      </w:r>
      <w:r w:rsidR="00B945FA">
        <w:rPr>
          <w:rFonts w:ascii="Arial" w:hAnsi="Arial" w:cs="Arial"/>
          <w:szCs w:val="20"/>
        </w:rPr>
        <w:t xml:space="preserve"> października </w:t>
      </w:r>
      <w:r w:rsidRPr="00526894">
        <w:rPr>
          <w:rFonts w:ascii="Arial" w:hAnsi="Arial" w:cs="Arial"/>
          <w:szCs w:val="20"/>
        </w:rPr>
        <w:t>202</w:t>
      </w:r>
      <w:r w:rsidR="00B5291B">
        <w:rPr>
          <w:rFonts w:ascii="Arial" w:hAnsi="Arial" w:cs="Arial"/>
          <w:szCs w:val="20"/>
        </w:rPr>
        <w:t>1</w:t>
      </w:r>
      <w:r w:rsidRPr="00526894">
        <w:rPr>
          <w:rFonts w:ascii="Arial" w:hAnsi="Arial" w:cs="Arial"/>
          <w:szCs w:val="20"/>
        </w:rPr>
        <w:t xml:space="preserve"> r. Sejm otrzymał dokument w język</w:t>
      </w:r>
      <w:r w:rsidR="00B945FA">
        <w:rPr>
          <w:rFonts w:ascii="Arial" w:hAnsi="Arial" w:cs="Arial"/>
          <w:szCs w:val="20"/>
        </w:rPr>
        <w:t>ach polskim i francuskim</w:t>
      </w:r>
      <w:r w:rsidRPr="00526894">
        <w:rPr>
          <w:rFonts w:ascii="Arial" w:hAnsi="Arial" w:cs="Arial"/>
          <w:szCs w:val="20"/>
        </w:rPr>
        <w:t>.</w:t>
      </w:r>
    </w:p>
    <w:p w14:paraId="6E444C96" w14:textId="77777777" w:rsidR="00D8419C" w:rsidRPr="00526894" w:rsidRDefault="00D8419C" w:rsidP="009530D6">
      <w:pPr>
        <w:spacing w:before="120" w:line="360" w:lineRule="auto"/>
        <w:ind w:left="851"/>
        <w:jc w:val="both"/>
        <w:rPr>
          <w:rFonts w:ascii="Arial" w:hAnsi="Arial" w:cs="Arial"/>
          <w:b/>
          <w:szCs w:val="22"/>
        </w:rPr>
      </w:pPr>
      <w:r w:rsidRPr="00526894">
        <w:rPr>
          <w:rFonts w:ascii="Arial" w:hAnsi="Arial" w:cs="Arial"/>
          <w:b/>
          <w:szCs w:val="22"/>
        </w:rPr>
        <w:t xml:space="preserve">b) </w:t>
      </w:r>
      <w:r w:rsidRPr="00526894">
        <w:rPr>
          <w:rFonts w:ascii="Arial" w:hAnsi="Arial" w:cs="Arial"/>
          <w:b/>
          <w:bCs/>
        </w:rPr>
        <w:t>działania</w:t>
      </w:r>
      <w:r w:rsidRPr="00526894">
        <w:rPr>
          <w:rFonts w:ascii="Arial" w:hAnsi="Arial" w:cs="Arial"/>
          <w:b/>
          <w:szCs w:val="22"/>
        </w:rPr>
        <w:t xml:space="preserve"> Komisji do Spraw Unii Europejskiej</w:t>
      </w:r>
    </w:p>
    <w:p w14:paraId="4D3B0CBB" w14:textId="71F097C4" w:rsidR="00D8419C" w:rsidRPr="00526894" w:rsidRDefault="00D8419C" w:rsidP="00D8419C">
      <w:pPr>
        <w:spacing w:line="360" w:lineRule="auto"/>
        <w:ind w:firstLine="851"/>
        <w:jc w:val="both"/>
        <w:rPr>
          <w:rFonts w:ascii="Arial" w:hAnsi="Arial" w:cs="Arial"/>
          <w:spacing w:val="-4"/>
          <w:szCs w:val="20"/>
        </w:rPr>
      </w:pPr>
      <w:r w:rsidRPr="00526894">
        <w:rPr>
          <w:rFonts w:ascii="Arial" w:hAnsi="Arial" w:cs="Arial"/>
          <w:spacing w:val="-4"/>
          <w:szCs w:val="20"/>
        </w:rPr>
        <w:t xml:space="preserve">Komisja do Spraw UE, uwzględniając art. 3 ust. 2 ustawy z dnia 8 października 2010 r. o współpracy Rady Ministrów z Sejmem i Senatem w sprawach związanych </w:t>
      </w:r>
      <w:r w:rsidR="00FB20D2">
        <w:rPr>
          <w:rFonts w:ascii="Arial" w:hAnsi="Arial" w:cs="Arial"/>
          <w:spacing w:val="-4"/>
          <w:szCs w:val="20"/>
        </w:rPr>
        <w:t xml:space="preserve">z </w:t>
      </w:r>
      <w:bookmarkStart w:id="1" w:name="_GoBack"/>
      <w:bookmarkEnd w:id="1"/>
      <w:r w:rsidRPr="00526894">
        <w:rPr>
          <w:rFonts w:ascii="Arial" w:hAnsi="Arial" w:cs="Arial"/>
          <w:spacing w:val="-4"/>
          <w:szCs w:val="20"/>
        </w:rPr>
        <w:t>członkostwem Rzeczypospolitej Polskiej w Unii Europejskiej</w:t>
      </w:r>
      <w:r w:rsidRPr="00526894">
        <w:rPr>
          <w:rFonts w:ascii="Arial" w:hAnsi="Arial" w:cs="Arial"/>
          <w:spacing w:val="-4"/>
          <w:szCs w:val="20"/>
          <w:vertAlign w:val="superscript"/>
        </w:rPr>
        <w:footnoteReference w:id="3"/>
      </w:r>
      <w:r w:rsidRPr="00526894">
        <w:rPr>
          <w:rFonts w:ascii="Arial" w:hAnsi="Arial" w:cs="Arial"/>
          <w:spacing w:val="-4"/>
          <w:szCs w:val="20"/>
        </w:rPr>
        <w:t xml:space="preserve">, </w:t>
      </w:r>
      <w:r w:rsidR="00C3419E" w:rsidRPr="000F3CBB">
        <w:rPr>
          <w:rFonts w:ascii="Arial" w:hAnsi="Arial" w:cs="Arial"/>
          <w:spacing w:val="-4"/>
          <w:szCs w:val="20"/>
        </w:rPr>
        <w:t xml:space="preserve">5 listopada </w:t>
      </w:r>
      <w:r w:rsidRPr="000F3CBB">
        <w:rPr>
          <w:rFonts w:ascii="Arial" w:hAnsi="Arial" w:cs="Arial"/>
          <w:spacing w:val="-4"/>
          <w:szCs w:val="20"/>
        </w:rPr>
        <w:t>202</w:t>
      </w:r>
      <w:r w:rsidR="00AF15AE" w:rsidRPr="000F3CBB">
        <w:rPr>
          <w:rFonts w:ascii="Arial" w:hAnsi="Arial" w:cs="Arial"/>
          <w:spacing w:val="-4"/>
          <w:szCs w:val="20"/>
        </w:rPr>
        <w:t>1</w:t>
      </w:r>
      <w:r w:rsidRPr="000F3CBB">
        <w:rPr>
          <w:rFonts w:ascii="Arial" w:hAnsi="Arial" w:cs="Arial"/>
          <w:spacing w:val="-4"/>
          <w:szCs w:val="20"/>
        </w:rPr>
        <w:t xml:space="preserve"> r. zwróciła się do Rady Ministrów o przedstawienie informacji na temat komunikatu. Rada Ministrów przekazała informację </w:t>
      </w:r>
      <w:r w:rsidR="000F3CBB" w:rsidRPr="000F3CBB">
        <w:rPr>
          <w:rFonts w:ascii="Arial" w:hAnsi="Arial" w:cs="Arial"/>
          <w:spacing w:val="-4"/>
          <w:szCs w:val="20"/>
        </w:rPr>
        <w:t xml:space="preserve">28 grudnia </w:t>
      </w:r>
      <w:r w:rsidRPr="000F3CBB">
        <w:rPr>
          <w:rFonts w:ascii="Arial" w:hAnsi="Arial" w:cs="Arial"/>
          <w:spacing w:val="-4"/>
          <w:szCs w:val="20"/>
        </w:rPr>
        <w:t>202</w:t>
      </w:r>
      <w:r w:rsidR="00AF15AE" w:rsidRPr="000F3CBB">
        <w:rPr>
          <w:rFonts w:ascii="Arial" w:hAnsi="Arial" w:cs="Arial"/>
          <w:spacing w:val="-4"/>
          <w:szCs w:val="20"/>
        </w:rPr>
        <w:t>1</w:t>
      </w:r>
      <w:r w:rsidRPr="000F3CBB">
        <w:rPr>
          <w:rFonts w:ascii="Arial" w:hAnsi="Arial" w:cs="Arial"/>
          <w:spacing w:val="-4"/>
          <w:szCs w:val="20"/>
        </w:rPr>
        <w:t xml:space="preserve"> r. Komisja do Spraw</w:t>
      </w:r>
      <w:r w:rsidRPr="00526894">
        <w:rPr>
          <w:rFonts w:ascii="Arial" w:hAnsi="Arial" w:cs="Arial"/>
          <w:spacing w:val="-4"/>
          <w:szCs w:val="20"/>
        </w:rPr>
        <w:t xml:space="preserve"> UE nie jest ograniczona terminami, poza tymi, które mogą wynikać z celowości podejmowanych przez nią działań. </w:t>
      </w:r>
    </w:p>
    <w:p w14:paraId="358BFD33" w14:textId="77777777" w:rsidR="00D8419C" w:rsidRPr="00526894" w:rsidRDefault="00D8419C" w:rsidP="00D8419C">
      <w:pPr>
        <w:spacing w:line="360" w:lineRule="auto"/>
        <w:ind w:firstLine="851"/>
        <w:jc w:val="both"/>
        <w:rPr>
          <w:rFonts w:ascii="Arial" w:hAnsi="Arial" w:cs="Arial"/>
          <w:szCs w:val="20"/>
        </w:rPr>
      </w:pPr>
    </w:p>
    <w:p w14:paraId="260892A1" w14:textId="56510A3C" w:rsidR="00880415" w:rsidRDefault="00880415" w:rsidP="00AF15AE">
      <w:pPr>
        <w:pStyle w:val="Tekstpodstawowy"/>
        <w:spacing w:after="0" w:line="360" w:lineRule="auto"/>
        <w:ind w:firstLine="851"/>
        <w:jc w:val="both"/>
        <w:rPr>
          <w:rFonts w:ascii="Arial" w:hAnsi="Arial" w:cs="Arial"/>
          <w:b/>
          <w:bCs/>
        </w:rPr>
      </w:pPr>
      <w:r w:rsidRPr="00526894">
        <w:rPr>
          <w:rFonts w:ascii="Arial" w:hAnsi="Arial" w:cs="Arial"/>
          <w:b/>
          <w:bCs/>
        </w:rPr>
        <w:t>III. Konkluzja</w:t>
      </w:r>
    </w:p>
    <w:p w14:paraId="61579D23" w14:textId="77777777" w:rsidR="003B508F" w:rsidRDefault="003B508F" w:rsidP="00AF15AE">
      <w:pPr>
        <w:pStyle w:val="Tekstpodstawowy"/>
        <w:spacing w:after="0" w:line="360" w:lineRule="auto"/>
        <w:ind w:firstLine="851"/>
        <w:jc w:val="both"/>
        <w:rPr>
          <w:rFonts w:ascii="Arial" w:hAnsi="Arial" w:cs="Arial"/>
        </w:rPr>
      </w:pPr>
      <w:r>
        <w:rPr>
          <w:rFonts w:ascii="Arial" w:hAnsi="Arial" w:cs="Arial"/>
        </w:rPr>
        <w:t>Komunikat Komisji, p</w:t>
      </w:r>
      <w:r w:rsidR="000303D5">
        <w:rPr>
          <w:rFonts w:ascii="Arial" w:hAnsi="Arial" w:cs="Arial"/>
        </w:rPr>
        <w:t>rzygotowany w reakcji na drastyczny wzrost cen energii</w:t>
      </w:r>
      <w:r>
        <w:rPr>
          <w:rFonts w:ascii="Arial" w:hAnsi="Arial" w:cs="Arial"/>
        </w:rPr>
        <w:t>,</w:t>
      </w:r>
      <w:r w:rsidR="000303D5">
        <w:rPr>
          <w:rFonts w:ascii="Arial" w:hAnsi="Arial" w:cs="Arial"/>
        </w:rPr>
        <w:t xml:space="preserve"> zawiera analizę przyczyn, a także propozycje możliwych działań łagodzących skutki wzrostu cen energii w perspektywie krótko- i średniookresowej. Przedstawione działania powinny przyczynić się do pewnego złagodzenia skutków wzrostu cen, choć w ostatecznym rozrachunku nie powstrzymają wzrostu kosztów produkcji i zwiększenia presji inflacyjnej. </w:t>
      </w:r>
    </w:p>
    <w:p w14:paraId="7E028745" w14:textId="7ED23567" w:rsidR="000303D5" w:rsidRPr="000303D5" w:rsidRDefault="000303D5" w:rsidP="00AF15AE">
      <w:pPr>
        <w:pStyle w:val="Tekstpodstawowy"/>
        <w:spacing w:after="0" w:line="360" w:lineRule="auto"/>
        <w:ind w:firstLine="851"/>
        <w:jc w:val="both"/>
        <w:rPr>
          <w:rFonts w:ascii="Arial" w:hAnsi="Arial" w:cs="Arial"/>
        </w:rPr>
      </w:pPr>
      <w:r>
        <w:rPr>
          <w:rFonts w:ascii="Arial" w:hAnsi="Arial" w:cs="Arial"/>
        </w:rPr>
        <w:t xml:space="preserve">W ocenie Biura Analiz Sejmowych </w:t>
      </w:r>
      <w:r w:rsidR="007A4E14">
        <w:rPr>
          <w:rFonts w:ascii="Arial" w:hAnsi="Arial" w:cs="Arial"/>
        </w:rPr>
        <w:t xml:space="preserve">przedstawiony komunikat Komisji </w:t>
      </w:r>
      <w:r>
        <w:rPr>
          <w:rFonts w:ascii="Arial" w:hAnsi="Arial" w:cs="Arial"/>
        </w:rPr>
        <w:t>należy przyjąć do wiadomości.</w:t>
      </w:r>
    </w:p>
    <w:p w14:paraId="53327781" w14:textId="77777777" w:rsidR="00B945FA" w:rsidRPr="00526894" w:rsidRDefault="00B945FA" w:rsidP="00EB1E14">
      <w:pPr>
        <w:jc w:val="both"/>
        <w:rPr>
          <w:rFonts w:ascii="Arial" w:hAnsi="Arial" w:cs="Arial"/>
        </w:rPr>
      </w:pPr>
    </w:p>
    <w:p w14:paraId="5E951724" w14:textId="77777777" w:rsidR="00DD4A66" w:rsidRPr="00526894" w:rsidRDefault="00DD4A66" w:rsidP="00DD4A66">
      <w:pPr>
        <w:suppressAutoHyphens/>
        <w:spacing w:before="120" w:after="60"/>
        <w:jc w:val="both"/>
        <w:rPr>
          <w:rFonts w:ascii="Arial" w:hAnsi="Arial" w:cs="Arial"/>
        </w:rPr>
      </w:pPr>
      <w:r w:rsidRPr="00526894">
        <w:rPr>
          <w:rFonts w:ascii="Arial" w:hAnsi="Arial" w:cs="Arial"/>
        </w:rPr>
        <w:t xml:space="preserve">Autorzy: </w:t>
      </w:r>
    </w:p>
    <w:p w14:paraId="18A5B2DF" w14:textId="50B78EAE" w:rsidR="00DD4A66" w:rsidRPr="00526894" w:rsidRDefault="00C3419E" w:rsidP="007A4E14">
      <w:pPr>
        <w:suppressAutoHyphens/>
        <w:autoSpaceDE w:val="0"/>
        <w:autoSpaceDN w:val="0"/>
        <w:adjustRightInd w:val="0"/>
        <w:spacing w:line="264" w:lineRule="auto"/>
        <w:jc w:val="both"/>
        <w:rPr>
          <w:rFonts w:ascii="Arial" w:eastAsia="Times New Roman" w:hAnsi="Arial" w:cs="Arial"/>
          <w:kern w:val="1"/>
          <w:lang w:bidi="hi-IN"/>
        </w:rPr>
      </w:pPr>
      <w:r w:rsidRPr="00C3419E">
        <w:rPr>
          <w:rFonts w:ascii="Arial" w:hAnsi="Arial" w:cs="Arial"/>
          <w:b/>
        </w:rPr>
        <w:t xml:space="preserve">Jacek Krzak </w:t>
      </w:r>
      <w:r w:rsidR="00DD4A66" w:rsidRPr="00526894">
        <w:rPr>
          <w:rFonts w:ascii="Arial" w:eastAsia="Times New Roman" w:hAnsi="Arial" w:cs="Arial"/>
          <w:color w:val="000000"/>
          <w:kern w:val="1"/>
          <w:lang w:bidi="hi-IN"/>
        </w:rPr>
        <w:t>(pkt I i III)</w:t>
      </w:r>
      <w:r w:rsidR="00DD4A66" w:rsidRPr="00526894">
        <w:rPr>
          <w:rFonts w:ascii="Arial" w:eastAsia="Times New Roman" w:hAnsi="Arial" w:cs="Arial"/>
          <w:color w:val="000000"/>
          <w:kern w:val="1"/>
          <w:lang w:bidi="hi-IN"/>
        </w:rPr>
        <w:tab/>
      </w:r>
      <w:bookmarkStart w:id="2" w:name="_Hlk86758078"/>
      <w:r>
        <w:rPr>
          <w:rFonts w:ascii="Arial" w:eastAsia="Times New Roman" w:hAnsi="Arial" w:cs="Arial"/>
          <w:color w:val="000000"/>
          <w:kern w:val="1"/>
          <w:lang w:bidi="hi-IN"/>
        </w:rPr>
        <w:tab/>
      </w:r>
      <w:r w:rsidR="00163084">
        <w:rPr>
          <w:rFonts w:ascii="Arial" w:eastAsia="Times New Roman" w:hAnsi="Arial" w:cs="Arial"/>
          <w:i/>
          <w:iCs/>
          <w:color w:val="000000"/>
          <w:kern w:val="1"/>
          <w:sz w:val="20"/>
          <w:szCs w:val="20"/>
          <w:lang w:bidi="hi-IN"/>
        </w:rPr>
        <w:t xml:space="preserve"> </w:t>
      </w:r>
      <w:bookmarkEnd w:id="2"/>
    </w:p>
    <w:p w14:paraId="5F56C310" w14:textId="166BF2A3" w:rsidR="00E14A92" w:rsidRDefault="00E14A92" w:rsidP="00C3419E">
      <w:pPr>
        <w:spacing w:line="264" w:lineRule="auto"/>
        <w:jc w:val="both"/>
        <w:rPr>
          <w:rFonts w:ascii="Arial" w:eastAsia="Times New Roman" w:hAnsi="Arial" w:cs="Arial"/>
          <w:color w:val="000000"/>
          <w:kern w:val="1"/>
          <w:lang w:bidi="hi-IN"/>
        </w:rPr>
      </w:pPr>
      <w:r w:rsidRPr="00E14A92">
        <w:rPr>
          <w:rFonts w:ascii="Arial" w:eastAsia="Times New Roman" w:hAnsi="Arial" w:cs="Arial"/>
          <w:color w:val="000000"/>
          <w:kern w:val="1"/>
          <w:lang w:bidi="hi-IN"/>
        </w:rPr>
        <w:t xml:space="preserve">specjalista </w:t>
      </w:r>
      <w:r w:rsidR="00C3419E" w:rsidRPr="00C3419E">
        <w:rPr>
          <w:rFonts w:ascii="Arial" w:eastAsia="Times New Roman" w:hAnsi="Arial" w:cs="Arial"/>
          <w:color w:val="000000"/>
          <w:kern w:val="1"/>
          <w:lang w:bidi="hi-IN"/>
        </w:rPr>
        <w:t>ds. systemu gospodarczego</w:t>
      </w:r>
    </w:p>
    <w:p w14:paraId="5169A2FA" w14:textId="123D93AB" w:rsidR="00DD4A66" w:rsidRPr="00526894" w:rsidRDefault="00DD4A66" w:rsidP="00DD4A66">
      <w:pPr>
        <w:spacing w:line="264" w:lineRule="auto"/>
        <w:jc w:val="both"/>
        <w:rPr>
          <w:rFonts w:ascii="Arial" w:hAnsi="Arial" w:cs="Arial"/>
          <w:b/>
          <w:spacing w:val="-2"/>
        </w:rPr>
      </w:pPr>
      <w:r w:rsidRPr="00526894">
        <w:rPr>
          <w:rFonts w:ascii="Arial" w:eastAsia="Times New Roman" w:hAnsi="Arial" w:cs="Arial"/>
          <w:color w:val="000000"/>
          <w:kern w:val="1"/>
          <w:lang w:bidi="hi-IN"/>
        </w:rPr>
        <w:t>w Biurze Analiz Sejmowych</w:t>
      </w:r>
      <w:r w:rsidRPr="00526894">
        <w:rPr>
          <w:rFonts w:ascii="Arial" w:hAnsi="Arial" w:cs="Arial"/>
          <w:b/>
          <w:spacing w:val="-2"/>
        </w:rPr>
        <w:t xml:space="preserve"> </w:t>
      </w:r>
    </w:p>
    <w:p w14:paraId="5C9E28B6" w14:textId="21B5C421" w:rsidR="00DD4A66" w:rsidRPr="00526894" w:rsidRDefault="00DD4A66" w:rsidP="00DD4A66">
      <w:pPr>
        <w:spacing w:before="60" w:line="264" w:lineRule="auto"/>
        <w:jc w:val="both"/>
        <w:rPr>
          <w:rFonts w:ascii="Arial" w:hAnsi="Arial" w:cs="Arial"/>
          <w:b/>
          <w:spacing w:val="-2"/>
        </w:rPr>
      </w:pPr>
      <w:r w:rsidRPr="00526894">
        <w:rPr>
          <w:rFonts w:ascii="Arial" w:hAnsi="Arial" w:cs="Arial"/>
          <w:b/>
          <w:spacing w:val="-2"/>
        </w:rPr>
        <w:t xml:space="preserve">Marcin Fryźlewicz </w:t>
      </w:r>
      <w:r w:rsidRPr="00526894">
        <w:rPr>
          <w:rFonts w:ascii="Arial" w:hAnsi="Arial" w:cs="Arial"/>
          <w:spacing w:val="-2"/>
        </w:rPr>
        <w:t>(pkt II)</w:t>
      </w:r>
      <w:r w:rsidR="002679EA">
        <w:rPr>
          <w:rFonts w:ascii="Arial" w:hAnsi="Arial" w:cs="Arial"/>
          <w:spacing w:val="-2"/>
        </w:rPr>
        <w:tab/>
      </w:r>
    </w:p>
    <w:p w14:paraId="3A8CAA6E" w14:textId="77777777" w:rsidR="00DD4A66" w:rsidRPr="00526894" w:rsidRDefault="00DD4A66" w:rsidP="00DD4A66">
      <w:pPr>
        <w:spacing w:line="264" w:lineRule="auto"/>
        <w:jc w:val="both"/>
        <w:rPr>
          <w:rFonts w:ascii="Arial" w:hAnsi="Arial" w:cs="Arial"/>
        </w:rPr>
      </w:pPr>
      <w:r w:rsidRPr="00526894">
        <w:rPr>
          <w:rFonts w:ascii="Arial" w:hAnsi="Arial" w:cs="Arial"/>
        </w:rPr>
        <w:t xml:space="preserve">ekspert ds. legislacji </w:t>
      </w:r>
    </w:p>
    <w:p w14:paraId="4C65204D" w14:textId="41A123EB" w:rsidR="00DD4A66" w:rsidRPr="00526894" w:rsidRDefault="00DD4A66" w:rsidP="00DD4A66">
      <w:pPr>
        <w:spacing w:line="264" w:lineRule="auto"/>
        <w:jc w:val="both"/>
        <w:rPr>
          <w:rFonts w:ascii="Arial" w:hAnsi="Arial" w:cs="Arial"/>
        </w:rPr>
      </w:pPr>
      <w:r w:rsidRPr="00526894">
        <w:rPr>
          <w:rFonts w:ascii="Arial" w:hAnsi="Arial" w:cs="Arial"/>
        </w:rPr>
        <w:t>w Biurze Analiz Sejmowych</w:t>
      </w:r>
    </w:p>
    <w:p w14:paraId="0DF0D86D" w14:textId="15B237C5" w:rsidR="00DD4A66" w:rsidRPr="00526894" w:rsidRDefault="00DD4A66" w:rsidP="00DD4A66">
      <w:pPr>
        <w:suppressAutoHyphens/>
        <w:autoSpaceDE w:val="0"/>
        <w:autoSpaceDN w:val="0"/>
        <w:adjustRightInd w:val="0"/>
        <w:spacing w:after="60"/>
        <w:ind w:left="5103"/>
        <w:jc w:val="both"/>
        <w:rPr>
          <w:rFonts w:ascii="Arial" w:eastAsia="Times New Roman" w:hAnsi="Arial" w:cs="Arial"/>
          <w:kern w:val="1"/>
          <w:lang w:bidi="hi-IN"/>
        </w:rPr>
      </w:pPr>
      <w:bookmarkStart w:id="3" w:name="_Hlk43804987"/>
      <w:r w:rsidRPr="00526894">
        <w:rPr>
          <w:rFonts w:ascii="Arial" w:eastAsia="Times New Roman" w:hAnsi="Arial" w:cs="Arial"/>
          <w:color w:val="000000"/>
          <w:kern w:val="1"/>
          <w:lang w:bidi="hi-IN"/>
        </w:rPr>
        <w:t>Akceptował:</w:t>
      </w:r>
    </w:p>
    <w:p w14:paraId="6BAB7D8D" w14:textId="77777777" w:rsidR="00DD4A66" w:rsidRPr="00526894" w:rsidRDefault="00DD4A66" w:rsidP="00DD4A66">
      <w:pPr>
        <w:tabs>
          <w:tab w:val="left" w:pos="2484"/>
        </w:tabs>
        <w:suppressAutoHyphens/>
        <w:autoSpaceDE w:val="0"/>
        <w:autoSpaceDN w:val="0"/>
        <w:adjustRightInd w:val="0"/>
        <w:spacing w:line="264" w:lineRule="auto"/>
        <w:ind w:left="5103"/>
        <w:jc w:val="both"/>
        <w:rPr>
          <w:rFonts w:ascii="Arial" w:eastAsia="Times New Roman" w:hAnsi="Arial" w:cs="Arial"/>
          <w:kern w:val="1"/>
          <w:lang w:bidi="hi-IN"/>
        </w:rPr>
      </w:pPr>
      <w:r w:rsidRPr="00526894">
        <w:rPr>
          <w:rFonts w:ascii="Arial" w:eastAsia="Times New Roman" w:hAnsi="Arial" w:cs="Arial"/>
          <w:color w:val="000000"/>
          <w:kern w:val="1"/>
          <w:lang w:bidi="hi-IN"/>
        </w:rPr>
        <w:t xml:space="preserve">Wicedyrektor </w:t>
      </w:r>
    </w:p>
    <w:p w14:paraId="2CFC6DA7" w14:textId="77777777" w:rsidR="00DD4A66" w:rsidRPr="00526894" w:rsidRDefault="00DD4A66" w:rsidP="00DD4A66">
      <w:pPr>
        <w:tabs>
          <w:tab w:val="left" w:pos="2484"/>
        </w:tabs>
        <w:suppressAutoHyphens/>
        <w:autoSpaceDE w:val="0"/>
        <w:autoSpaceDN w:val="0"/>
        <w:adjustRightInd w:val="0"/>
        <w:spacing w:line="264" w:lineRule="auto"/>
        <w:ind w:left="5103"/>
        <w:jc w:val="both"/>
        <w:rPr>
          <w:rFonts w:ascii="Arial" w:eastAsia="Times New Roman" w:hAnsi="Arial" w:cs="Arial"/>
          <w:kern w:val="1"/>
          <w:lang w:bidi="hi-IN"/>
        </w:rPr>
      </w:pPr>
      <w:r w:rsidRPr="00526894">
        <w:rPr>
          <w:rFonts w:ascii="Arial" w:eastAsia="Times New Roman" w:hAnsi="Arial" w:cs="Arial"/>
          <w:color w:val="000000"/>
          <w:kern w:val="1"/>
          <w:lang w:bidi="hi-IN"/>
        </w:rPr>
        <w:t>Biura Analiz Sejmowych</w:t>
      </w:r>
    </w:p>
    <w:p w14:paraId="6B077B01" w14:textId="77777777" w:rsidR="00DD4A66" w:rsidRPr="00526894" w:rsidRDefault="00DD4A66" w:rsidP="00DD4A66">
      <w:pPr>
        <w:tabs>
          <w:tab w:val="left" w:pos="2484"/>
        </w:tabs>
        <w:suppressAutoHyphens/>
        <w:autoSpaceDE w:val="0"/>
        <w:autoSpaceDN w:val="0"/>
        <w:adjustRightInd w:val="0"/>
        <w:spacing w:line="264" w:lineRule="auto"/>
        <w:ind w:left="5103"/>
        <w:jc w:val="both"/>
        <w:rPr>
          <w:rFonts w:ascii="Arial" w:eastAsia="Times New Roman" w:hAnsi="Arial" w:cs="Arial"/>
          <w:color w:val="000000"/>
          <w:kern w:val="1"/>
          <w:lang w:bidi="hi-IN"/>
        </w:rPr>
      </w:pPr>
    </w:p>
    <w:p w14:paraId="1906BF51" w14:textId="77777777" w:rsidR="00DD4A66" w:rsidRPr="00526894" w:rsidRDefault="00DD4A66" w:rsidP="00DD4A66">
      <w:pPr>
        <w:tabs>
          <w:tab w:val="left" w:pos="2484"/>
        </w:tabs>
        <w:suppressAutoHyphens/>
        <w:autoSpaceDE w:val="0"/>
        <w:autoSpaceDN w:val="0"/>
        <w:adjustRightInd w:val="0"/>
        <w:spacing w:line="264" w:lineRule="auto"/>
        <w:ind w:left="5103"/>
        <w:jc w:val="both"/>
        <w:rPr>
          <w:rFonts w:ascii="Arial" w:eastAsia="Times New Roman" w:hAnsi="Arial" w:cs="Arial"/>
          <w:color w:val="000000"/>
          <w:kern w:val="1"/>
          <w:lang w:bidi="hi-IN"/>
        </w:rPr>
      </w:pPr>
    </w:p>
    <w:bookmarkEnd w:id="3"/>
    <w:p w14:paraId="32E633E9" w14:textId="77777777" w:rsidR="00DD4A66" w:rsidRPr="00526894" w:rsidRDefault="00DD4A66" w:rsidP="00DD4A66">
      <w:pPr>
        <w:suppressAutoHyphens/>
        <w:autoSpaceDE w:val="0"/>
        <w:autoSpaceDN w:val="0"/>
        <w:adjustRightInd w:val="0"/>
        <w:spacing w:line="264" w:lineRule="auto"/>
        <w:ind w:left="5103"/>
        <w:jc w:val="both"/>
        <w:rPr>
          <w:rFonts w:ascii="Arial" w:eastAsia="Times New Roman" w:hAnsi="Arial" w:cs="Arial"/>
          <w:color w:val="000000"/>
          <w:kern w:val="1"/>
          <w:lang w:bidi="hi-IN"/>
        </w:rPr>
      </w:pPr>
      <w:r w:rsidRPr="00526894">
        <w:rPr>
          <w:rFonts w:ascii="Arial" w:eastAsia="Times New Roman" w:hAnsi="Arial" w:cs="Arial"/>
          <w:color w:val="000000"/>
          <w:kern w:val="1"/>
          <w:lang w:bidi="hi-IN"/>
        </w:rPr>
        <w:t>Jacek Krawczyk</w:t>
      </w:r>
    </w:p>
    <w:p w14:paraId="2FCCD071" w14:textId="77777777" w:rsidR="000A0B12" w:rsidRPr="00526894" w:rsidRDefault="000A0B12" w:rsidP="0056737B">
      <w:pPr>
        <w:tabs>
          <w:tab w:val="left" w:pos="4820"/>
        </w:tabs>
        <w:spacing w:line="360" w:lineRule="auto"/>
        <w:ind w:firstLine="851"/>
        <w:jc w:val="both"/>
        <w:rPr>
          <w:rFonts w:ascii="Arial" w:hAnsi="Arial" w:cs="Arial"/>
        </w:rPr>
      </w:pPr>
    </w:p>
    <w:p w14:paraId="5F6550A5" w14:textId="62C9FEF1" w:rsidR="0065741D" w:rsidRPr="000303D5" w:rsidRDefault="000303D5" w:rsidP="005A3157">
      <w:pPr>
        <w:tabs>
          <w:tab w:val="left" w:pos="4820"/>
        </w:tabs>
        <w:jc w:val="both"/>
        <w:rPr>
          <w:rFonts w:ascii="Arial" w:eastAsia="Times New Roman" w:hAnsi="Arial" w:cs="Arial"/>
          <w:color w:val="000000"/>
          <w:kern w:val="1"/>
          <w:sz w:val="20"/>
          <w:szCs w:val="20"/>
          <w:lang w:bidi="hi-IN"/>
        </w:rPr>
      </w:pPr>
      <w:r w:rsidRPr="000303D5">
        <w:rPr>
          <w:rFonts w:ascii="Arial" w:eastAsia="Times New Roman" w:hAnsi="Arial" w:cs="Arial"/>
          <w:color w:val="000000"/>
          <w:kern w:val="1"/>
          <w:lang w:bidi="hi-IN"/>
        </w:rPr>
        <w:t>W</w:t>
      </w:r>
      <w:r w:rsidRPr="000303D5">
        <w:rPr>
          <w:rFonts w:ascii="Arial" w:eastAsia="Times New Roman" w:hAnsi="Arial" w:cs="Arial"/>
          <w:color w:val="000000"/>
          <w:kern w:val="1"/>
          <w:sz w:val="20"/>
          <w:szCs w:val="20"/>
          <w:lang w:bidi="hi-IN"/>
        </w:rPr>
        <w:t>eryfikacja pkt I i III: Zofia Szpringer</w:t>
      </w:r>
    </w:p>
    <w:p w14:paraId="11BD1BDA" w14:textId="5531F111" w:rsidR="00526894" w:rsidRPr="000303D5" w:rsidRDefault="000303D5" w:rsidP="001C2C01">
      <w:pPr>
        <w:suppressAutoHyphens/>
        <w:jc w:val="both"/>
        <w:rPr>
          <w:rFonts w:ascii="Arial" w:hAnsi="Arial" w:cs="Arial"/>
          <w:sz w:val="20"/>
          <w:szCs w:val="20"/>
          <w:lang w:eastAsia="ar-SA"/>
        </w:rPr>
      </w:pPr>
      <w:r w:rsidRPr="000303D5">
        <w:rPr>
          <w:rFonts w:ascii="Arial" w:hAnsi="Arial" w:cs="Arial"/>
          <w:spacing w:val="-2"/>
        </w:rPr>
        <w:t>W</w:t>
      </w:r>
      <w:r w:rsidRPr="000303D5">
        <w:rPr>
          <w:rFonts w:ascii="Arial" w:eastAsia="Times New Roman" w:hAnsi="Arial" w:cs="Arial"/>
          <w:color w:val="000000"/>
          <w:kern w:val="1"/>
          <w:sz w:val="20"/>
          <w:szCs w:val="20"/>
          <w:lang w:bidi="hi-IN"/>
        </w:rPr>
        <w:t>eryfikacja pkt II: Ziemowit Cieślik</w:t>
      </w:r>
    </w:p>
    <w:p w14:paraId="664C8DAA" w14:textId="77777777" w:rsidR="00526894" w:rsidRPr="00526894" w:rsidRDefault="00526894" w:rsidP="001C2C01">
      <w:pPr>
        <w:suppressAutoHyphens/>
        <w:jc w:val="both"/>
        <w:rPr>
          <w:rFonts w:ascii="Arial" w:hAnsi="Arial" w:cs="Arial"/>
          <w:sz w:val="20"/>
          <w:szCs w:val="20"/>
          <w:lang w:eastAsia="ar-SA"/>
        </w:rPr>
      </w:pPr>
    </w:p>
    <w:p w14:paraId="3216F56F" w14:textId="77777777" w:rsidR="00526894" w:rsidRPr="00526894" w:rsidRDefault="00526894" w:rsidP="001C2C01">
      <w:pPr>
        <w:suppressAutoHyphens/>
        <w:jc w:val="both"/>
        <w:rPr>
          <w:rFonts w:ascii="Arial" w:hAnsi="Arial" w:cs="Arial"/>
          <w:sz w:val="20"/>
          <w:szCs w:val="20"/>
          <w:lang w:eastAsia="ar-SA"/>
        </w:rPr>
      </w:pPr>
    </w:p>
    <w:p w14:paraId="67FB9BB6" w14:textId="77777777" w:rsidR="00526894" w:rsidRPr="00526894" w:rsidRDefault="00526894" w:rsidP="001C2C01">
      <w:pPr>
        <w:suppressAutoHyphens/>
        <w:jc w:val="both"/>
        <w:rPr>
          <w:rFonts w:ascii="Arial" w:hAnsi="Arial" w:cs="Arial"/>
          <w:sz w:val="20"/>
          <w:szCs w:val="20"/>
          <w:lang w:eastAsia="ar-SA"/>
        </w:rPr>
      </w:pPr>
    </w:p>
    <w:p w14:paraId="7B3D3D70" w14:textId="77777777" w:rsidR="00526894" w:rsidRPr="00526894" w:rsidRDefault="00526894" w:rsidP="001C2C01">
      <w:pPr>
        <w:suppressAutoHyphens/>
        <w:jc w:val="both"/>
        <w:rPr>
          <w:rFonts w:ascii="Arial" w:hAnsi="Arial" w:cs="Arial"/>
          <w:sz w:val="20"/>
          <w:szCs w:val="20"/>
          <w:lang w:eastAsia="ar-SA"/>
        </w:rPr>
      </w:pPr>
    </w:p>
    <w:p w14:paraId="593F52A5" w14:textId="77777777" w:rsidR="00526894" w:rsidRPr="00526894" w:rsidRDefault="00526894" w:rsidP="001C2C01">
      <w:pPr>
        <w:suppressAutoHyphens/>
        <w:jc w:val="both"/>
        <w:rPr>
          <w:rFonts w:ascii="Arial" w:hAnsi="Arial" w:cs="Arial"/>
          <w:sz w:val="20"/>
          <w:szCs w:val="20"/>
          <w:lang w:eastAsia="ar-SA"/>
        </w:rPr>
      </w:pPr>
    </w:p>
    <w:p w14:paraId="0E3A786F" w14:textId="78B43D19" w:rsidR="00526894" w:rsidRDefault="00526894" w:rsidP="001C2C01">
      <w:pPr>
        <w:suppressAutoHyphens/>
        <w:jc w:val="both"/>
        <w:rPr>
          <w:rFonts w:ascii="Arial" w:hAnsi="Arial" w:cs="Arial"/>
          <w:sz w:val="20"/>
          <w:szCs w:val="20"/>
          <w:lang w:eastAsia="ar-SA"/>
        </w:rPr>
      </w:pPr>
    </w:p>
    <w:p w14:paraId="3598D1A8" w14:textId="42AFF153" w:rsidR="007A4E14" w:rsidRDefault="007A4E14" w:rsidP="001C2C01">
      <w:pPr>
        <w:suppressAutoHyphens/>
        <w:jc w:val="both"/>
        <w:rPr>
          <w:rFonts w:ascii="Arial" w:hAnsi="Arial" w:cs="Arial"/>
          <w:sz w:val="20"/>
          <w:szCs w:val="20"/>
          <w:lang w:eastAsia="ar-SA"/>
        </w:rPr>
      </w:pPr>
    </w:p>
    <w:p w14:paraId="72C9C814" w14:textId="420D99AE" w:rsidR="007A4E14" w:rsidRDefault="007A4E14" w:rsidP="001C2C01">
      <w:pPr>
        <w:suppressAutoHyphens/>
        <w:jc w:val="both"/>
        <w:rPr>
          <w:rFonts w:ascii="Arial" w:hAnsi="Arial" w:cs="Arial"/>
          <w:sz w:val="20"/>
          <w:szCs w:val="20"/>
          <w:lang w:eastAsia="ar-SA"/>
        </w:rPr>
      </w:pPr>
    </w:p>
    <w:p w14:paraId="1ECD9024" w14:textId="4F1F6615" w:rsidR="007A4E14" w:rsidRDefault="007A4E14" w:rsidP="001C2C01">
      <w:pPr>
        <w:suppressAutoHyphens/>
        <w:jc w:val="both"/>
        <w:rPr>
          <w:rFonts w:ascii="Arial" w:hAnsi="Arial" w:cs="Arial"/>
          <w:sz w:val="20"/>
          <w:szCs w:val="20"/>
          <w:lang w:eastAsia="ar-SA"/>
        </w:rPr>
      </w:pPr>
    </w:p>
    <w:p w14:paraId="029C0588" w14:textId="368CD3FA" w:rsidR="007A4E14" w:rsidRDefault="007A4E14" w:rsidP="001C2C01">
      <w:pPr>
        <w:suppressAutoHyphens/>
        <w:jc w:val="both"/>
        <w:rPr>
          <w:rFonts w:ascii="Arial" w:hAnsi="Arial" w:cs="Arial"/>
          <w:sz w:val="20"/>
          <w:szCs w:val="20"/>
          <w:lang w:eastAsia="ar-SA"/>
        </w:rPr>
      </w:pPr>
    </w:p>
    <w:p w14:paraId="53ACDFAF" w14:textId="2A0E2075" w:rsidR="007A4E14" w:rsidRDefault="007A4E14" w:rsidP="001C2C01">
      <w:pPr>
        <w:suppressAutoHyphens/>
        <w:jc w:val="both"/>
        <w:rPr>
          <w:rFonts w:ascii="Arial" w:hAnsi="Arial" w:cs="Arial"/>
          <w:sz w:val="20"/>
          <w:szCs w:val="20"/>
          <w:lang w:eastAsia="ar-SA"/>
        </w:rPr>
      </w:pPr>
    </w:p>
    <w:p w14:paraId="7AFFE0D9" w14:textId="4561D573" w:rsidR="007A4E14" w:rsidRDefault="007A4E14" w:rsidP="001C2C01">
      <w:pPr>
        <w:suppressAutoHyphens/>
        <w:jc w:val="both"/>
        <w:rPr>
          <w:rFonts w:ascii="Arial" w:hAnsi="Arial" w:cs="Arial"/>
          <w:sz w:val="20"/>
          <w:szCs w:val="20"/>
          <w:lang w:eastAsia="ar-SA"/>
        </w:rPr>
      </w:pPr>
    </w:p>
    <w:p w14:paraId="554676EA" w14:textId="0B4CDC8E" w:rsidR="007A4E14" w:rsidRDefault="007A4E14" w:rsidP="001C2C01">
      <w:pPr>
        <w:suppressAutoHyphens/>
        <w:jc w:val="both"/>
        <w:rPr>
          <w:rFonts w:ascii="Arial" w:hAnsi="Arial" w:cs="Arial"/>
          <w:sz w:val="20"/>
          <w:szCs w:val="20"/>
          <w:lang w:eastAsia="ar-SA"/>
        </w:rPr>
      </w:pPr>
    </w:p>
    <w:p w14:paraId="1EB5FC7E" w14:textId="46A43D7F" w:rsidR="007A4E14" w:rsidRDefault="007A4E14" w:rsidP="001C2C01">
      <w:pPr>
        <w:suppressAutoHyphens/>
        <w:jc w:val="both"/>
        <w:rPr>
          <w:rFonts w:ascii="Arial" w:hAnsi="Arial" w:cs="Arial"/>
          <w:sz w:val="20"/>
          <w:szCs w:val="20"/>
          <w:lang w:eastAsia="ar-SA"/>
        </w:rPr>
      </w:pPr>
    </w:p>
    <w:p w14:paraId="25D8152B" w14:textId="6DB0D8E7" w:rsidR="007A4E14" w:rsidRDefault="007A4E14" w:rsidP="001C2C01">
      <w:pPr>
        <w:suppressAutoHyphens/>
        <w:jc w:val="both"/>
        <w:rPr>
          <w:rFonts w:ascii="Arial" w:hAnsi="Arial" w:cs="Arial"/>
          <w:sz w:val="20"/>
          <w:szCs w:val="20"/>
          <w:lang w:eastAsia="ar-SA"/>
        </w:rPr>
      </w:pPr>
    </w:p>
    <w:p w14:paraId="347DFE4B" w14:textId="60915E22" w:rsidR="007A4E14" w:rsidRDefault="007A4E14" w:rsidP="001C2C01">
      <w:pPr>
        <w:suppressAutoHyphens/>
        <w:jc w:val="both"/>
        <w:rPr>
          <w:rFonts w:ascii="Arial" w:hAnsi="Arial" w:cs="Arial"/>
          <w:sz w:val="20"/>
          <w:szCs w:val="20"/>
          <w:lang w:eastAsia="ar-SA"/>
        </w:rPr>
      </w:pPr>
    </w:p>
    <w:p w14:paraId="43D524DB" w14:textId="62F3AB9D" w:rsidR="007A4E14" w:rsidRDefault="007A4E14" w:rsidP="001C2C01">
      <w:pPr>
        <w:suppressAutoHyphens/>
        <w:jc w:val="both"/>
        <w:rPr>
          <w:rFonts w:ascii="Arial" w:hAnsi="Arial" w:cs="Arial"/>
          <w:sz w:val="20"/>
          <w:szCs w:val="20"/>
          <w:lang w:eastAsia="ar-SA"/>
        </w:rPr>
      </w:pPr>
    </w:p>
    <w:p w14:paraId="390B9FDF" w14:textId="0E00EED4" w:rsidR="007A4E14" w:rsidRDefault="007A4E14" w:rsidP="001C2C01">
      <w:pPr>
        <w:suppressAutoHyphens/>
        <w:jc w:val="both"/>
        <w:rPr>
          <w:rFonts w:ascii="Arial" w:hAnsi="Arial" w:cs="Arial"/>
          <w:sz w:val="20"/>
          <w:szCs w:val="20"/>
          <w:lang w:eastAsia="ar-SA"/>
        </w:rPr>
      </w:pPr>
    </w:p>
    <w:p w14:paraId="54D6F310" w14:textId="5537818E" w:rsidR="007A4E14" w:rsidRDefault="007A4E14" w:rsidP="001C2C01">
      <w:pPr>
        <w:suppressAutoHyphens/>
        <w:jc w:val="both"/>
        <w:rPr>
          <w:rFonts w:ascii="Arial" w:hAnsi="Arial" w:cs="Arial"/>
          <w:sz w:val="20"/>
          <w:szCs w:val="20"/>
          <w:lang w:eastAsia="ar-SA"/>
        </w:rPr>
      </w:pPr>
    </w:p>
    <w:p w14:paraId="4D720F22" w14:textId="2BBB706E" w:rsidR="007A4E14" w:rsidRDefault="007A4E14" w:rsidP="001C2C01">
      <w:pPr>
        <w:suppressAutoHyphens/>
        <w:jc w:val="both"/>
        <w:rPr>
          <w:rFonts w:ascii="Arial" w:hAnsi="Arial" w:cs="Arial"/>
          <w:sz w:val="20"/>
          <w:szCs w:val="20"/>
          <w:lang w:eastAsia="ar-SA"/>
        </w:rPr>
      </w:pPr>
    </w:p>
    <w:p w14:paraId="50D50713" w14:textId="177D38F3" w:rsidR="007A4E14" w:rsidRDefault="007A4E14" w:rsidP="001C2C01">
      <w:pPr>
        <w:suppressAutoHyphens/>
        <w:jc w:val="both"/>
        <w:rPr>
          <w:rFonts w:ascii="Arial" w:hAnsi="Arial" w:cs="Arial"/>
          <w:sz w:val="20"/>
          <w:szCs w:val="20"/>
          <w:lang w:eastAsia="ar-SA"/>
        </w:rPr>
      </w:pPr>
    </w:p>
    <w:p w14:paraId="39FE7BF9" w14:textId="72E6D40C" w:rsidR="007A4E14" w:rsidRDefault="007A4E14" w:rsidP="001C2C01">
      <w:pPr>
        <w:suppressAutoHyphens/>
        <w:jc w:val="both"/>
        <w:rPr>
          <w:rFonts w:ascii="Arial" w:hAnsi="Arial" w:cs="Arial"/>
          <w:sz w:val="20"/>
          <w:szCs w:val="20"/>
          <w:lang w:eastAsia="ar-SA"/>
        </w:rPr>
      </w:pPr>
    </w:p>
    <w:p w14:paraId="1C61D356" w14:textId="6FF55132" w:rsidR="007A4E14" w:rsidRDefault="007A4E14" w:rsidP="001C2C01">
      <w:pPr>
        <w:suppressAutoHyphens/>
        <w:jc w:val="both"/>
        <w:rPr>
          <w:rFonts w:ascii="Arial" w:hAnsi="Arial" w:cs="Arial"/>
          <w:sz w:val="20"/>
          <w:szCs w:val="20"/>
          <w:lang w:eastAsia="ar-SA"/>
        </w:rPr>
      </w:pPr>
    </w:p>
    <w:p w14:paraId="3138EBE4" w14:textId="6FBE6610" w:rsidR="007A4E14" w:rsidRDefault="007A4E14" w:rsidP="001C2C01">
      <w:pPr>
        <w:suppressAutoHyphens/>
        <w:jc w:val="both"/>
        <w:rPr>
          <w:rFonts w:ascii="Arial" w:hAnsi="Arial" w:cs="Arial"/>
          <w:sz w:val="20"/>
          <w:szCs w:val="20"/>
          <w:lang w:eastAsia="ar-SA"/>
        </w:rPr>
      </w:pPr>
    </w:p>
    <w:p w14:paraId="765E64A7" w14:textId="1E4849CA" w:rsidR="007A4E14" w:rsidRDefault="007A4E14" w:rsidP="001C2C01">
      <w:pPr>
        <w:suppressAutoHyphens/>
        <w:jc w:val="both"/>
        <w:rPr>
          <w:rFonts w:ascii="Arial" w:hAnsi="Arial" w:cs="Arial"/>
          <w:sz w:val="20"/>
          <w:szCs w:val="20"/>
          <w:lang w:eastAsia="ar-SA"/>
        </w:rPr>
      </w:pPr>
    </w:p>
    <w:p w14:paraId="7735FA06" w14:textId="77777777" w:rsidR="007A4E14" w:rsidRPr="00526894" w:rsidRDefault="007A4E14" w:rsidP="001C2C01">
      <w:pPr>
        <w:suppressAutoHyphens/>
        <w:jc w:val="both"/>
        <w:rPr>
          <w:rFonts w:ascii="Arial" w:hAnsi="Arial" w:cs="Arial"/>
          <w:sz w:val="20"/>
          <w:szCs w:val="20"/>
          <w:lang w:eastAsia="ar-SA"/>
        </w:rPr>
      </w:pPr>
    </w:p>
    <w:p w14:paraId="2B63A230" w14:textId="77777777" w:rsidR="007A4E14" w:rsidRDefault="007A4E14" w:rsidP="001C2C01">
      <w:pPr>
        <w:suppressAutoHyphens/>
        <w:jc w:val="both"/>
        <w:rPr>
          <w:rFonts w:ascii="Arial" w:hAnsi="Arial" w:cs="Arial"/>
          <w:sz w:val="20"/>
          <w:szCs w:val="20"/>
          <w:lang w:eastAsia="ar-SA"/>
        </w:rPr>
      </w:pPr>
    </w:p>
    <w:p w14:paraId="6494377A" w14:textId="77777777" w:rsidR="007A4E14" w:rsidRDefault="007A4E14" w:rsidP="001C2C01">
      <w:pPr>
        <w:suppressAutoHyphens/>
        <w:jc w:val="both"/>
        <w:rPr>
          <w:rFonts w:ascii="Arial" w:hAnsi="Arial" w:cs="Arial"/>
          <w:sz w:val="20"/>
          <w:szCs w:val="20"/>
          <w:lang w:eastAsia="ar-SA"/>
        </w:rPr>
      </w:pPr>
    </w:p>
    <w:p w14:paraId="06707124" w14:textId="77777777" w:rsidR="007A4E14" w:rsidRDefault="007A4E14" w:rsidP="001C2C01">
      <w:pPr>
        <w:suppressAutoHyphens/>
        <w:jc w:val="both"/>
        <w:rPr>
          <w:rFonts w:ascii="Arial" w:hAnsi="Arial" w:cs="Arial"/>
          <w:sz w:val="20"/>
          <w:szCs w:val="20"/>
          <w:lang w:eastAsia="ar-SA"/>
        </w:rPr>
      </w:pPr>
    </w:p>
    <w:p w14:paraId="036A4E33" w14:textId="77777777" w:rsidR="007A4E14" w:rsidRDefault="007A4E14" w:rsidP="001C2C01">
      <w:pPr>
        <w:suppressAutoHyphens/>
        <w:jc w:val="both"/>
        <w:rPr>
          <w:rFonts w:ascii="Arial" w:hAnsi="Arial" w:cs="Arial"/>
          <w:sz w:val="20"/>
          <w:szCs w:val="20"/>
          <w:lang w:eastAsia="ar-SA"/>
        </w:rPr>
      </w:pPr>
    </w:p>
    <w:p w14:paraId="6333F103" w14:textId="77777777" w:rsidR="003B508F" w:rsidRDefault="003B508F" w:rsidP="001C2C01">
      <w:pPr>
        <w:suppressAutoHyphens/>
        <w:jc w:val="both"/>
        <w:rPr>
          <w:rFonts w:ascii="Arial" w:hAnsi="Arial" w:cs="Arial"/>
          <w:sz w:val="20"/>
          <w:szCs w:val="20"/>
          <w:lang w:eastAsia="ar-SA"/>
        </w:rPr>
      </w:pPr>
    </w:p>
    <w:p w14:paraId="7452CD82" w14:textId="77777777" w:rsidR="003B508F" w:rsidRDefault="003B508F" w:rsidP="001C2C01">
      <w:pPr>
        <w:suppressAutoHyphens/>
        <w:jc w:val="both"/>
        <w:rPr>
          <w:rFonts w:ascii="Arial" w:hAnsi="Arial" w:cs="Arial"/>
          <w:sz w:val="20"/>
          <w:szCs w:val="20"/>
          <w:lang w:eastAsia="ar-SA"/>
        </w:rPr>
      </w:pPr>
    </w:p>
    <w:p w14:paraId="4CD3C2BA" w14:textId="5AB1DC07" w:rsidR="000A0B12" w:rsidRPr="00526894" w:rsidRDefault="00D8419C" w:rsidP="001C2C01">
      <w:pPr>
        <w:suppressAutoHyphens/>
        <w:jc w:val="both"/>
        <w:rPr>
          <w:rFonts w:ascii="Arial" w:hAnsi="Arial" w:cs="Arial"/>
          <w:lang w:eastAsia="ar-SA"/>
        </w:rPr>
      </w:pPr>
      <w:r w:rsidRPr="00526894">
        <w:rPr>
          <w:rFonts w:ascii="Arial" w:hAnsi="Arial" w:cs="Arial"/>
          <w:sz w:val="20"/>
          <w:szCs w:val="20"/>
          <w:lang w:eastAsia="ar-SA"/>
        </w:rPr>
        <w:t>Deskryptory bazy REX</w:t>
      </w:r>
      <w:r w:rsidR="00C3419E">
        <w:rPr>
          <w:rFonts w:ascii="Arial" w:hAnsi="Arial" w:cs="Arial"/>
          <w:sz w:val="20"/>
          <w:szCs w:val="20"/>
          <w:lang w:eastAsia="ar-SA"/>
        </w:rPr>
        <w:t xml:space="preserve">: cena, energetyka, </w:t>
      </w:r>
      <w:r w:rsidRPr="00526894">
        <w:rPr>
          <w:rFonts w:ascii="Arial" w:hAnsi="Arial" w:cs="Arial"/>
          <w:bCs/>
          <w:sz w:val="20"/>
          <w:szCs w:val="20"/>
          <w:lang w:eastAsia="ar-SA"/>
        </w:rPr>
        <w:t>Unia Europejska</w:t>
      </w:r>
    </w:p>
    <w:sectPr w:rsidR="000A0B12" w:rsidRPr="00526894" w:rsidSect="005E59E5">
      <w:footerReference w:type="default" r:id="rId8"/>
      <w:headerReference w:type="first" r:id="rId9"/>
      <w:footerReference w:type="firs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8394E" w14:textId="77777777" w:rsidR="00661EB6" w:rsidRDefault="00661EB6" w:rsidP="006B516B">
      <w:r>
        <w:separator/>
      </w:r>
    </w:p>
  </w:endnote>
  <w:endnote w:type="continuationSeparator" w:id="0">
    <w:p w14:paraId="0862FCCC" w14:textId="77777777" w:rsidR="00661EB6" w:rsidRDefault="00661EB6" w:rsidP="006B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CE">
    <w:altName w:val="Times New Roman"/>
    <w:panose1 w:val="00000000000000000000"/>
    <w:charset w:val="58"/>
    <w:family w:val="auto"/>
    <w:notTrueType/>
    <w:pitch w:val="variable"/>
    <w:sig w:usb0="00000001"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6DFD" w14:textId="6E212337" w:rsidR="0047196F" w:rsidRPr="00526894" w:rsidRDefault="00FD54CC">
    <w:pPr>
      <w:pStyle w:val="Stopka"/>
      <w:jc w:val="center"/>
      <w:rPr>
        <w:rFonts w:ascii="Arial" w:hAnsi="Arial" w:cs="Arial"/>
      </w:rPr>
    </w:pPr>
    <w:r w:rsidRPr="00526894">
      <w:rPr>
        <w:rFonts w:ascii="Arial" w:hAnsi="Arial" w:cs="Arial"/>
      </w:rPr>
      <w:fldChar w:fldCharType="begin"/>
    </w:r>
    <w:r w:rsidR="0047196F" w:rsidRPr="00526894">
      <w:rPr>
        <w:rFonts w:ascii="Arial" w:hAnsi="Arial" w:cs="Arial"/>
      </w:rPr>
      <w:instrText>PAGE   \* MERGEFORMAT</w:instrText>
    </w:r>
    <w:r w:rsidRPr="00526894">
      <w:rPr>
        <w:rFonts w:ascii="Arial" w:hAnsi="Arial" w:cs="Arial"/>
      </w:rPr>
      <w:fldChar w:fldCharType="separate"/>
    </w:r>
    <w:r w:rsidR="00FB20D2">
      <w:rPr>
        <w:rFonts w:ascii="Arial" w:hAnsi="Arial" w:cs="Arial"/>
        <w:noProof/>
      </w:rPr>
      <w:t>8</w:t>
    </w:r>
    <w:r w:rsidRPr="00526894">
      <w:rPr>
        <w:rFonts w:ascii="Arial" w:hAnsi="Arial" w:cs="Arial"/>
      </w:rPr>
      <w:fldChar w:fldCharType="end"/>
    </w:r>
  </w:p>
  <w:p w14:paraId="4E9E4140" w14:textId="77777777" w:rsidR="0047196F" w:rsidRDefault="004719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8706" w14:textId="77777777" w:rsidR="005E59E5" w:rsidRPr="00211D5F" w:rsidRDefault="00853D36" w:rsidP="00D940FD">
    <w:pPr>
      <w:pStyle w:val="Stopka"/>
      <w:jc w:val="center"/>
    </w:pPr>
    <w:r>
      <w:rPr>
        <w:noProof/>
      </w:rPr>
      <w:drawing>
        <wp:inline distT="0" distB="0" distL="0" distR="0" wp14:anchorId="6E3C360B" wp14:editId="16F223FB">
          <wp:extent cx="5667375" cy="314325"/>
          <wp:effectExtent l="0" t="0" r="9525" b="9525"/>
          <wp:docPr id="8" name="Obraz 3" descr="Macintosh HD:Users:jas:hubiC:Documents:Firmowki BAS:stopka_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cintosh HD:Users:jas:hubiC:Documents:Firmowki BAS:stopka_B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22BEA" w14:textId="77777777" w:rsidR="00661EB6" w:rsidRDefault="00661EB6" w:rsidP="006B516B">
      <w:r>
        <w:separator/>
      </w:r>
    </w:p>
  </w:footnote>
  <w:footnote w:type="continuationSeparator" w:id="0">
    <w:p w14:paraId="5E391266" w14:textId="77777777" w:rsidR="00661EB6" w:rsidRDefault="00661EB6" w:rsidP="006B516B">
      <w:r>
        <w:continuationSeparator/>
      </w:r>
    </w:p>
  </w:footnote>
  <w:footnote w:id="1">
    <w:p w14:paraId="21D57988" w14:textId="345B3B3D" w:rsidR="000303D5" w:rsidRPr="00180E0A" w:rsidRDefault="000303D5" w:rsidP="000303D5">
      <w:pPr>
        <w:pStyle w:val="Tekstprzypisudolnego"/>
        <w:rPr>
          <w:lang w:val="pl-PL"/>
        </w:rPr>
      </w:pPr>
      <w:r w:rsidRPr="00180E0A">
        <w:rPr>
          <w:rStyle w:val="Odwoanieprzypisudolnego"/>
          <w:rFonts w:cs="Arial"/>
        </w:rPr>
        <w:footnoteRef/>
      </w:r>
      <w:r w:rsidRPr="00180E0A">
        <w:rPr>
          <w:lang w:val="pl-PL"/>
        </w:rPr>
        <w:t xml:space="preserve"> Rozporządzenie Parlamentu Europejskiego i Rady (UE) nr 1227/2011 z dnia 25 października 2011 r. w</w:t>
      </w:r>
      <w:r w:rsidR="00A96A94">
        <w:rPr>
          <w:lang w:val="pl-PL"/>
        </w:rPr>
        <w:t> </w:t>
      </w:r>
      <w:r w:rsidRPr="00180E0A">
        <w:rPr>
          <w:lang w:val="pl-PL"/>
        </w:rPr>
        <w:t>sprawie integralności i przejrzystości hurtowego rynku energii, Dz.</w:t>
      </w:r>
      <w:r>
        <w:rPr>
          <w:lang w:val="pl-PL"/>
        </w:rPr>
        <w:t xml:space="preserve"> </w:t>
      </w:r>
      <w:r w:rsidRPr="00180E0A">
        <w:rPr>
          <w:lang w:val="pl-PL"/>
        </w:rPr>
        <w:t>U</w:t>
      </w:r>
      <w:r>
        <w:rPr>
          <w:lang w:val="pl-PL"/>
        </w:rPr>
        <w:t>rz</w:t>
      </w:r>
      <w:r w:rsidRPr="00180E0A">
        <w:rPr>
          <w:lang w:val="pl-PL"/>
        </w:rPr>
        <w:t>. UE L 326 z 8.12.2011</w:t>
      </w:r>
      <w:r w:rsidR="00A96A94">
        <w:rPr>
          <w:lang w:val="pl-PL"/>
        </w:rPr>
        <w:t xml:space="preserve"> r.</w:t>
      </w:r>
      <w:r w:rsidRPr="00180E0A">
        <w:rPr>
          <w:lang w:val="pl-PL"/>
        </w:rPr>
        <w:t>, s. 1.</w:t>
      </w:r>
    </w:p>
  </w:footnote>
  <w:footnote w:id="2">
    <w:p w14:paraId="78BE52ED" w14:textId="77777777" w:rsidR="000303D5" w:rsidRPr="00CB413A" w:rsidRDefault="000303D5" w:rsidP="000303D5">
      <w:pPr>
        <w:pStyle w:val="Tekstprzypisudolnego"/>
        <w:rPr>
          <w:lang w:val="pl-PL"/>
        </w:rPr>
      </w:pPr>
      <w:r w:rsidRPr="00CB413A">
        <w:rPr>
          <w:rStyle w:val="Odwoanieprzypisudolnego"/>
          <w:rFonts w:cs="Arial"/>
        </w:rPr>
        <w:footnoteRef/>
      </w:r>
      <w:r w:rsidRPr="00CB413A">
        <w:rPr>
          <w:lang w:val="pl-PL"/>
        </w:rPr>
        <w:t xml:space="preserve"> „Skąd się wziął nagły kryzys energetyczny?”, WysokieNapięcie.pl, </w:t>
      </w:r>
      <w:hyperlink r:id="rId1" w:history="1">
        <w:r w:rsidRPr="00CB413A">
          <w:rPr>
            <w:rStyle w:val="Hipercze"/>
            <w:lang w:val="pl-PL"/>
          </w:rPr>
          <w:t>https://wysokienapiecie.pl/42076-skad-sie-wzial-nagly-kryzys-energetyczny/</w:t>
        </w:r>
      </w:hyperlink>
      <w:r w:rsidRPr="00CB413A">
        <w:rPr>
          <w:lang w:val="pl-PL"/>
        </w:rPr>
        <w:t xml:space="preserve"> [dostęp: 03.01.2022]</w:t>
      </w:r>
    </w:p>
  </w:footnote>
  <w:footnote w:id="3">
    <w:p w14:paraId="6D642DAF" w14:textId="77777777" w:rsidR="00D8419C" w:rsidRPr="00E25D97" w:rsidRDefault="00D8419C" w:rsidP="00D8419C">
      <w:pPr>
        <w:pStyle w:val="Tekstprzypisudolnego"/>
      </w:pPr>
      <w:r w:rsidRPr="0076459C">
        <w:rPr>
          <w:rStyle w:val="Odwoanieprzypisudolnego"/>
        </w:rPr>
        <w:footnoteRef/>
      </w:r>
      <w:r w:rsidRPr="00E25D97">
        <w:t xml:space="preserve"> Dz. U. Nr 213, poz. 1395.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51C0" w14:textId="77777777" w:rsidR="005E59E5" w:rsidRDefault="00853D36">
    <w:pPr>
      <w:pStyle w:val="Nagwek"/>
    </w:pPr>
    <w:r>
      <w:rPr>
        <w:noProof/>
      </w:rPr>
      <w:drawing>
        <wp:inline distT="0" distB="0" distL="0" distR="0" wp14:anchorId="30170253" wp14:editId="7DC0F321">
          <wp:extent cx="5638800" cy="590550"/>
          <wp:effectExtent l="0" t="0" r="0" b="0"/>
          <wp:docPr id="7" name="Obraz 7" descr="Macintosh HD:Users:jas:hubiC:Documents:Firmowki BAS:glowka_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cintosh HD:Users:jas:hubiC:Documents:Firmowki BAS:glowka_B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03"/>
    <w:multiLevelType w:val="hybridMultilevel"/>
    <w:tmpl w:val="AC60874A"/>
    <w:lvl w:ilvl="0" w:tplc="35F4274A">
      <w:start w:val="1"/>
      <w:numFmt w:val="lowerLetter"/>
      <w:lvlText w:val="%1)"/>
      <w:lvlJc w:val="left"/>
      <w:pPr>
        <w:ind w:left="1353" w:hanging="360"/>
      </w:pPr>
      <w:rPr>
        <w:rFonts w:cs="Times New Roman" w:hint="default"/>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64248FE"/>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C351055"/>
    <w:multiLevelType w:val="multilevel"/>
    <w:tmpl w:val="005E5796"/>
    <w:numStyleLink w:val="Styl1"/>
  </w:abstractNum>
  <w:abstractNum w:abstractNumId="3" w15:restartNumberingAfterBreak="0">
    <w:nsid w:val="0E9A6C27"/>
    <w:multiLevelType w:val="hybridMultilevel"/>
    <w:tmpl w:val="0F30E3D0"/>
    <w:lvl w:ilvl="0" w:tplc="0D0CE98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C056E5"/>
    <w:multiLevelType w:val="multilevel"/>
    <w:tmpl w:val="24AE9ED8"/>
    <w:lvl w:ilvl="0">
      <w:start w:val="1"/>
      <w:numFmt w:val="decimal"/>
      <w:lvlText w:val="(%1)"/>
      <w:lvlJc w:val="left"/>
      <w:pPr>
        <w:ind w:left="360" w:hanging="360"/>
      </w:pPr>
      <w:rPr>
        <w:rFonts w:ascii="Arial" w:hAnsi="Arial" w:cs="Times New Roman"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544E8"/>
    <w:multiLevelType w:val="multilevel"/>
    <w:tmpl w:val="00000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1EF85667"/>
    <w:multiLevelType w:val="multilevel"/>
    <w:tmpl w:val="0415001F"/>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FA034E"/>
    <w:multiLevelType w:val="multilevel"/>
    <w:tmpl w:val="005E5796"/>
    <w:styleLink w:val="Styl1"/>
    <w:lvl w:ilvl="0">
      <w:start w:val="1"/>
      <w:numFmt w:val="decimal"/>
      <w:lvlText w:val="(%1)"/>
      <w:lvlJc w:val="left"/>
      <w:pPr>
        <w:ind w:left="360" w:hanging="360"/>
      </w:pPr>
      <w:rPr>
        <w:rFonts w:ascii="Arial" w:hAnsi="Arial" w:cs="Times New Roman"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1840D8"/>
    <w:multiLevelType w:val="hybridMultilevel"/>
    <w:tmpl w:val="B22A6C56"/>
    <w:lvl w:ilvl="0" w:tplc="AA644D5A">
      <w:start w:val="1"/>
      <w:numFmt w:val="decimal"/>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9" w15:restartNumberingAfterBreak="0">
    <w:nsid w:val="22333050"/>
    <w:multiLevelType w:val="multilevel"/>
    <w:tmpl w:val="24AE9ED8"/>
    <w:lvl w:ilvl="0">
      <w:start w:val="1"/>
      <w:numFmt w:val="decimal"/>
      <w:lvlText w:val="(%1)"/>
      <w:lvlJc w:val="left"/>
      <w:pPr>
        <w:ind w:left="360" w:hanging="360"/>
      </w:pPr>
      <w:rPr>
        <w:rFonts w:ascii="Arial" w:hAnsi="Arial" w:cs="Times New Roman" w:hint="default"/>
      </w:rPr>
    </w:lvl>
    <w:lvl w:ilvl="1">
      <w:start w:val="1"/>
      <w:numFmt w:val="non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87F87"/>
    <w:multiLevelType w:val="hybridMultilevel"/>
    <w:tmpl w:val="E4DA0E2A"/>
    <w:lvl w:ilvl="0" w:tplc="57523F3A">
      <w:start w:val="1"/>
      <w:numFmt w:val="decimal"/>
      <w:lvlText w:val="%1."/>
      <w:lvlJc w:val="left"/>
      <w:pPr>
        <w:tabs>
          <w:tab w:val="num" w:pos="780"/>
        </w:tabs>
        <w:ind w:left="78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186166"/>
    <w:multiLevelType w:val="hybridMultilevel"/>
    <w:tmpl w:val="BA04D00A"/>
    <w:lvl w:ilvl="0" w:tplc="1048FF0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2B650138"/>
    <w:multiLevelType w:val="hybridMultilevel"/>
    <w:tmpl w:val="05668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F34AF"/>
    <w:multiLevelType w:val="hybridMultilevel"/>
    <w:tmpl w:val="60589A4E"/>
    <w:lvl w:ilvl="0" w:tplc="E64A2292">
      <w:start w:val="1"/>
      <w:numFmt w:val="lowerLetter"/>
      <w:lvlText w:val="%1)"/>
      <w:lvlJc w:val="left"/>
      <w:pPr>
        <w:ind w:left="1637" w:hanging="360"/>
      </w:pPr>
      <w:rPr>
        <w:rFonts w:cs="Times New Roman" w:hint="default"/>
        <w:b/>
      </w:rPr>
    </w:lvl>
    <w:lvl w:ilvl="1" w:tplc="9E78F5AA">
      <w:start w:val="1"/>
      <w:numFmt w:val="bullet"/>
      <w:lvlText w:val=""/>
      <w:lvlJc w:val="left"/>
      <w:pPr>
        <w:tabs>
          <w:tab w:val="num" w:pos="1428"/>
        </w:tabs>
        <w:ind w:left="1711" w:hanging="283"/>
      </w:pPr>
      <w:rPr>
        <w:rFonts w:ascii="Wingdings" w:hAnsi="Wingdings" w:hint="default"/>
        <w:b/>
        <w:i w:val="0"/>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15:restartNumberingAfterBreak="0">
    <w:nsid w:val="30305667"/>
    <w:multiLevelType w:val="hybridMultilevel"/>
    <w:tmpl w:val="FC6E8FE6"/>
    <w:lvl w:ilvl="0" w:tplc="1048FF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1A38CE"/>
    <w:multiLevelType w:val="hybridMultilevel"/>
    <w:tmpl w:val="0B146148"/>
    <w:lvl w:ilvl="0" w:tplc="0415000F">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6" w15:restartNumberingAfterBreak="0">
    <w:nsid w:val="3B160B48"/>
    <w:multiLevelType w:val="multilevel"/>
    <w:tmpl w:val="AC60874A"/>
    <w:lvl w:ilvl="0">
      <w:start w:val="1"/>
      <w:numFmt w:val="lowerLetter"/>
      <w:lvlText w:val="%1)"/>
      <w:lvlJc w:val="left"/>
      <w:pPr>
        <w:ind w:left="1428" w:hanging="360"/>
      </w:pPr>
      <w:rPr>
        <w:rFonts w:cs="Times New Roman" w:hint="default"/>
        <w:b/>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7" w15:restartNumberingAfterBreak="0">
    <w:nsid w:val="3FE60B79"/>
    <w:multiLevelType w:val="multilevel"/>
    <w:tmpl w:val="00000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40F53D49"/>
    <w:multiLevelType w:val="multilevel"/>
    <w:tmpl w:val="7D78032C"/>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ED4F37"/>
    <w:multiLevelType w:val="hybridMultilevel"/>
    <w:tmpl w:val="D74CF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FB6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343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16027"/>
    <w:multiLevelType w:val="hybridMultilevel"/>
    <w:tmpl w:val="B8121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20034F"/>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62F0188"/>
    <w:multiLevelType w:val="multilevel"/>
    <w:tmpl w:val="005E5796"/>
    <w:numStyleLink w:val="Styl1"/>
  </w:abstractNum>
  <w:abstractNum w:abstractNumId="25" w15:restartNumberingAfterBreak="0">
    <w:nsid w:val="60753F8E"/>
    <w:multiLevelType w:val="hybridMultilevel"/>
    <w:tmpl w:val="FB269804"/>
    <w:lvl w:ilvl="0" w:tplc="02BAF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950D3F"/>
    <w:multiLevelType w:val="hybridMultilevel"/>
    <w:tmpl w:val="ABA2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915F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4C3C4E"/>
    <w:multiLevelType w:val="hybridMultilevel"/>
    <w:tmpl w:val="6FB850A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70820CBC"/>
    <w:multiLevelType w:val="hybridMultilevel"/>
    <w:tmpl w:val="4FC0CBC8"/>
    <w:lvl w:ilvl="0" w:tplc="B48E256E">
      <w:start w:val="1"/>
      <w:numFmt w:val="decimal"/>
      <w:lvlText w:val="(%1)"/>
      <w:lvlJc w:val="left"/>
      <w:pPr>
        <w:ind w:left="2156" w:hanging="130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737119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407A43"/>
    <w:multiLevelType w:val="hybridMultilevel"/>
    <w:tmpl w:val="4A08AB44"/>
    <w:lvl w:ilvl="0" w:tplc="1048FF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14416F"/>
    <w:multiLevelType w:val="multilevel"/>
    <w:tmpl w:val="0D1C58E8"/>
    <w:lvl w:ilvl="0">
      <w:start w:val="1"/>
      <w:numFmt w:val="decimal"/>
      <w:lvlText w:val="(%1)"/>
      <w:lvlJc w:val="left"/>
      <w:rPr>
        <w:rFonts w:hint="default"/>
        <w:b/>
        <w:bCs/>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15:restartNumberingAfterBreak="0">
    <w:nsid w:val="79270EC2"/>
    <w:multiLevelType w:val="hybridMultilevel"/>
    <w:tmpl w:val="C7885508"/>
    <w:lvl w:ilvl="0" w:tplc="02BAF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B47EC2"/>
    <w:multiLevelType w:val="hybridMultilevel"/>
    <w:tmpl w:val="077EDEA8"/>
    <w:lvl w:ilvl="0" w:tplc="FFFFFFFF">
      <w:start w:val="1"/>
      <w:numFmt w:val="lowerLetter"/>
      <w:lvlText w:val="%1)"/>
      <w:lvlJc w:val="left"/>
      <w:pPr>
        <w:tabs>
          <w:tab w:val="num" w:pos="870"/>
        </w:tabs>
        <w:ind w:left="1437" w:hanging="397"/>
      </w:pPr>
      <w:rPr>
        <w:rFonts w:cs="Times New Roman" w:hint="default"/>
        <w:b/>
        <w:i w:val="0"/>
      </w:rPr>
    </w:lvl>
    <w:lvl w:ilvl="1" w:tplc="FFFFFFFF">
      <w:start w:val="1"/>
      <w:numFmt w:val="bullet"/>
      <w:lvlText w:val=""/>
      <w:lvlJc w:val="left"/>
      <w:pPr>
        <w:tabs>
          <w:tab w:val="num" w:pos="1421"/>
        </w:tabs>
        <w:ind w:left="1421" w:hanging="341"/>
      </w:pPr>
      <w:rPr>
        <w:rFonts w:ascii="Wingdings" w:hAnsi="Wingdings" w:hint="default"/>
        <w:b/>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D6E378B"/>
    <w:multiLevelType w:val="hybridMultilevel"/>
    <w:tmpl w:val="64080D36"/>
    <w:lvl w:ilvl="0" w:tplc="07A2339C">
      <w:start w:val="1"/>
      <w:numFmt w:val="lowerLetter"/>
      <w:lvlText w:val="%1)"/>
      <w:lvlJc w:val="left"/>
      <w:pPr>
        <w:tabs>
          <w:tab w:val="num" w:pos="-37"/>
        </w:tabs>
        <w:ind w:left="-37" w:hanging="360"/>
      </w:pPr>
      <w:rPr>
        <w:rFonts w:cs="Times New Roman" w:hint="default"/>
        <w:b/>
      </w:rPr>
    </w:lvl>
    <w:lvl w:ilvl="1" w:tplc="04150019" w:tentative="1">
      <w:start w:val="1"/>
      <w:numFmt w:val="lowerLetter"/>
      <w:lvlText w:val="%2."/>
      <w:lvlJc w:val="left"/>
      <w:pPr>
        <w:tabs>
          <w:tab w:val="num" w:pos="683"/>
        </w:tabs>
        <w:ind w:left="683" w:hanging="360"/>
      </w:pPr>
      <w:rPr>
        <w:rFonts w:cs="Times New Roman"/>
      </w:rPr>
    </w:lvl>
    <w:lvl w:ilvl="2" w:tplc="0415001B" w:tentative="1">
      <w:start w:val="1"/>
      <w:numFmt w:val="lowerRoman"/>
      <w:lvlText w:val="%3."/>
      <w:lvlJc w:val="right"/>
      <w:pPr>
        <w:tabs>
          <w:tab w:val="num" w:pos="1403"/>
        </w:tabs>
        <w:ind w:left="1403" w:hanging="180"/>
      </w:pPr>
      <w:rPr>
        <w:rFonts w:cs="Times New Roman"/>
      </w:rPr>
    </w:lvl>
    <w:lvl w:ilvl="3" w:tplc="0415000F" w:tentative="1">
      <w:start w:val="1"/>
      <w:numFmt w:val="decimal"/>
      <w:lvlText w:val="%4."/>
      <w:lvlJc w:val="left"/>
      <w:pPr>
        <w:tabs>
          <w:tab w:val="num" w:pos="2123"/>
        </w:tabs>
        <w:ind w:left="2123" w:hanging="360"/>
      </w:pPr>
      <w:rPr>
        <w:rFonts w:cs="Times New Roman"/>
      </w:rPr>
    </w:lvl>
    <w:lvl w:ilvl="4" w:tplc="04150019" w:tentative="1">
      <w:start w:val="1"/>
      <w:numFmt w:val="lowerLetter"/>
      <w:lvlText w:val="%5."/>
      <w:lvlJc w:val="left"/>
      <w:pPr>
        <w:tabs>
          <w:tab w:val="num" w:pos="2843"/>
        </w:tabs>
        <w:ind w:left="2843" w:hanging="360"/>
      </w:pPr>
      <w:rPr>
        <w:rFonts w:cs="Times New Roman"/>
      </w:rPr>
    </w:lvl>
    <w:lvl w:ilvl="5" w:tplc="0415001B" w:tentative="1">
      <w:start w:val="1"/>
      <w:numFmt w:val="lowerRoman"/>
      <w:lvlText w:val="%6."/>
      <w:lvlJc w:val="right"/>
      <w:pPr>
        <w:tabs>
          <w:tab w:val="num" w:pos="3563"/>
        </w:tabs>
        <w:ind w:left="3563" w:hanging="180"/>
      </w:pPr>
      <w:rPr>
        <w:rFonts w:cs="Times New Roman"/>
      </w:rPr>
    </w:lvl>
    <w:lvl w:ilvl="6" w:tplc="0415000F" w:tentative="1">
      <w:start w:val="1"/>
      <w:numFmt w:val="decimal"/>
      <w:lvlText w:val="%7."/>
      <w:lvlJc w:val="left"/>
      <w:pPr>
        <w:tabs>
          <w:tab w:val="num" w:pos="4283"/>
        </w:tabs>
        <w:ind w:left="4283" w:hanging="360"/>
      </w:pPr>
      <w:rPr>
        <w:rFonts w:cs="Times New Roman"/>
      </w:rPr>
    </w:lvl>
    <w:lvl w:ilvl="7" w:tplc="04150019" w:tentative="1">
      <w:start w:val="1"/>
      <w:numFmt w:val="lowerLetter"/>
      <w:lvlText w:val="%8."/>
      <w:lvlJc w:val="left"/>
      <w:pPr>
        <w:tabs>
          <w:tab w:val="num" w:pos="5003"/>
        </w:tabs>
        <w:ind w:left="5003" w:hanging="360"/>
      </w:pPr>
      <w:rPr>
        <w:rFonts w:cs="Times New Roman"/>
      </w:rPr>
    </w:lvl>
    <w:lvl w:ilvl="8" w:tplc="0415001B" w:tentative="1">
      <w:start w:val="1"/>
      <w:numFmt w:val="lowerRoman"/>
      <w:lvlText w:val="%9."/>
      <w:lvlJc w:val="right"/>
      <w:pPr>
        <w:tabs>
          <w:tab w:val="num" w:pos="5723"/>
        </w:tabs>
        <w:ind w:left="5723" w:hanging="180"/>
      </w:pPr>
      <w:rPr>
        <w:rFonts w:cs="Times New Roman"/>
      </w:rPr>
    </w:lvl>
  </w:abstractNum>
  <w:abstractNum w:abstractNumId="36" w15:restartNumberingAfterBreak="0">
    <w:nsid w:val="7FBB0DBF"/>
    <w:multiLevelType w:val="hybridMultilevel"/>
    <w:tmpl w:val="2DE2BD74"/>
    <w:lvl w:ilvl="0" w:tplc="0D0CE98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35"/>
  </w:num>
  <w:num w:numId="4">
    <w:abstractNumId w:val="22"/>
  </w:num>
  <w:num w:numId="5">
    <w:abstractNumId w:val="33"/>
  </w:num>
  <w:num w:numId="6">
    <w:abstractNumId w:val="25"/>
  </w:num>
  <w:num w:numId="7">
    <w:abstractNumId w:val="34"/>
  </w:num>
  <w:num w:numId="8">
    <w:abstractNumId w:val="12"/>
  </w:num>
  <w:num w:numId="9">
    <w:abstractNumId w:val="0"/>
  </w:num>
  <w:num w:numId="10">
    <w:abstractNumId w:val="16"/>
  </w:num>
  <w:num w:numId="11">
    <w:abstractNumId w:val="2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abstractNumId w:val="2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3">
    <w:abstractNumId w:val="2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4">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6">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7">
    <w:abstractNumId w:val="19"/>
  </w:num>
  <w:num w:numId="18">
    <w:abstractNumId w:val="6"/>
  </w:num>
  <w:num w:numId="19">
    <w:abstractNumId w:val="11"/>
  </w:num>
  <w:num w:numId="20">
    <w:abstractNumId w:val="4"/>
  </w:num>
  <w:num w:numId="21">
    <w:abstractNumId w:val="29"/>
  </w:num>
  <w:num w:numId="22">
    <w:abstractNumId w:val="14"/>
  </w:num>
  <w:num w:numId="23">
    <w:abstractNumId w:val="31"/>
  </w:num>
  <w:num w:numId="24">
    <w:abstractNumId w:val="3"/>
  </w:num>
  <w:num w:numId="25">
    <w:abstractNumId w:val="36"/>
  </w:num>
  <w:num w:numId="26">
    <w:abstractNumId w:val="32"/>
  </w:num>
  <w:num w:numId="27">
    <w:abstractNumId w:val="30"/>
  </w:num>
  <w:num w:numId="28">
    <w:abstractNumId w:val="17"/>
  </w:num>
  <w:num w:numId="29">
    <w:abstractNumId w:val="5"/>
  </w:num>
  <w:num w:numId="30">
    <w:abstractNumId w:val="21"/>
  </w:num>
  <w:num w:numId="31">
    <w:abstractNumId w:val="8"/>
  </w:num>
  <w:num w:numId="32">
    <w:abstractNumId w:val="27"/>
  </w:num>
  <w:num w:numId="33">
    <w:abstractNumId w:val="20"/>
  </w:num>
  <w:num w:numId="34">
    <w:abstractNumId w:val="15"/>
  </w:num>
  <w:num w:numId="35">
    <w:abstractNumId w:val="18"/>
  </w:num>
  <w:num w:numId="36">
    <w:abstractNumId w:val="7"/>
  </w:num>
  <w:num w:numId="37">
    <w:abstractNumId w:val="24"/>
  </w:num>
  <w:num w:numId="38">
    <w:abstractNumId w:val="2"/>
    <w:lvlOverride w:ilvl="0">
      <w:lvl w:ilvl="0">
        <w:start w:val="1"/>
        <w:numFmt w:val="decimal"/>
        <w:lvlText w:val="(%1)"/>
        <w:lvlJc w:val="left"/>
        <w:pPr>
          <w:ind w:left="360" w:hanging="360"/>
        </w:pPr>
        <w:rPr>
          <w:rFonts w:ascii="Arial" w:hAnsi="Arial" w:cs="Times New Roman" w:hint="default"/>
          <w:b/>
          <w:bCs/>
        </w:rPr>
      </w:lvl>
    </w:lvlOverride>
    <w:lvlOverride w:ilvl="1">
      <w:lvl w:ilvl="1">
        <w:start w:val="1"/>
        <w:numFmt w:val="decimal"/>
        <w:lvlText w:val="(%2.1)"/>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9"/>
  </w:num>
  <w:num w:numId="40">
    <w:abstractNumId w:val="2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851"/>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6B"/>
    <w:rsid w:val="00000283"/>
    <w:rsid w:val="000042AA"/>
    <w:rsid w:val="000051F5"/>
    <w:rsid w:val="00005859"/>
    <w:rsid w:val="00005E9D"/>
    <w:rsid w:val="000103AA"/>
    <w:rsid w:val="00011F67"/>
    <w:rsid w:val="00012079"/>
    <w:rsid w:val="0001438F"/>
    <w:rsid w:val="00016388"/>
    <w:rsid w:val="00017084"/>
    <w:rsid w:val="00020309"/>
    <w:rsid w:val="00023C3C"/>
    <w:rsid w:val="0002741D"/>
    <w:rsid w:val="000303D5"/>
    <w:rsid w:val="0003062E"/>
    <w:rsid w:val="00032796"/>
    <w:rsid w:val="00032C5B"/>
    <w:rsid w:val="00034969"/>
    <w:rsid w:val="00043DF1"/>
    <w:rsid w:val="00044134"/>
    <w:rsid w:val="00047782"/>
    <w:rsid w:val="000570F8"/>
    <w:rsid w:val="000576DD"/>
    <w:rsid w:val="00065452"/>
    <w:rsid w:val="000729C8"/>
    <w:rsid w:val="00072FCD"/>
    <w:rsid w:val="00075808"/>
    <w:rsid w:val="00075ACE"/>
    <w:rsid w:val="00081A08"/>
    <w:rsid w:val="00081BBA"/>
    <w:rsid w:val="0008556A"/>
    <w:rsid w:val="00093508"/>
    <w:rsid w:val="000A0B12"/>
    <w:rsid w:val="000A236B"/>
    <w:rsid w:val="000A351F"/>
    <w:rsid w:val="000A55E0"/>
    <w:rsid w:val="000A5F68"/>
    <w:rsid w:val="000B0BAD"/>
    <w:rsid w:val="000B0BFD"/>
    <w:rsid w:val="000B636D"/>
    <w:rsid w:val="000C4206"/>
    <w:rsid w:val="000C4BEA"/>
    <w:rsid w:val="000C7A70"/>
    <w:rsid w:val="000D0337"/>
    <w:rsid w:val="000D1CFD"/>
    <w:rsid w:val="000D3847"/>
    <w:rsid w:val="000D4A83"/>
    <w:rsid w:val="000E14A9"/>
    <w:rsid w:val="000E1B18"/>
    <w:rsid w:val="000E26D8"/>
    <w:rsid w:val="000E4072"/>
    <w:rsid w:val="000E559C"/>
    <w:rsid w:val="000F3CBB"/>
    <w:rsid w:val="000F43D5"/>
    <w:rsid w:val="000F68BF"/>
    <w:rsid w:val="000F7768"/>
    <w:rsid w:val="00100C3C"/>
    <w:rsid w:val="001010B0"/>
    <w:rsid w:val="00103382"/>
    <w:rsid w:val="00104827"/>
    <w:rsid w:val="00104BD6"/>
    <w:rsid w:val="001145B3"/>
    <w:rsid w:val="001173B5"/>
    <w:rsid w:val="00117E62"/>
    <w:rsid w:val="00123234"/>
    <w:rsid w:val="00124FEE"/>
    <w:rsid w:val="00135E2A"/>
    <w:rsid w:val="001365CF"/>
    <w:rsid w:val="00141611"/>
    <w:rsid w:val="00142BDD"/>
    <w:rsid w:val="00142D89"/>
    <w:rsid w:val="0014346D"/>
    <w:rsid w:val="001436C8"/>
    <w:rsid w:val="00146F16"/>
    <w:rsid w:val="00150B7F"/>
    <w:rsid w:val="00150EB4"/>
    <w:rsid w:val="00155609"/>
    <w:rsid w:val="001573C3"/>
    <w:rsid w:val="00157645"/>
    <w:rsid w:val="00163084"/>
    <w:rsid w:val="00163950"/>
    <w:rsid w:val="001668F4"/>
    <w:rsid w:val="00167094"/>
    <w:rsid w:val="00167808"/>
    <w:rsid w:val="00167DFA"/>
    <w:rsid w:val="001721B0"/>
    <w:rsid w:val="00180C5C"/>
    <w:rsid w:val="001875AD"/>
    <w:rsid w:val="001904B6"/>
    <w:rsid w:val="00190717"/>
    <w:rsid w:val="00195DCD"/>
    <w:rsid w:val="001967E3"/>
    <w:rsid w:val="00197DD7"/>
    <w:rsid w:val="001A077B"/>
    <w:rsid w:val="001A135D"/>
    <w:rsid w:val="001A30C2"/>
    <w:rsid w:val="001A3470"/>
    <w:rsid w:val="001A4C67"/>
    <w:rsid w:val="001B05AA"/>
    <w:rsid w:val="001B37AE"/>
    <w:rsid w:val="001B398F"/>
    <w:rsid w:val="001B4850"/>
    <w:rsid w:val="001B4F0F"/>
    <w:rsid w:val="001B5FB5"/>
    <w:rsid w:val="001C1555"/>
    <w:rsid w:val="001C2364"/>
    <w:rsid w:val="001C297F"/>
    <w:rsid w:val="001C29DB"/>
    <w:rsid w:val="001C2AE8"/>
    <w:rsid w:val="001C2C01"/>
    <w:rsid w:val="001C4801"/>
    <w:rsid w:val="001C6016"/>
    <w:rsid w:val="001C6034"/>
    <w:rsid w:val="001C7DCB"/>
    <w:rsid w:val="001D0FA2"/>
    <w:rsid w:val="001D2335"/>
    <w:rsid w:val="001D39AA"/>
    <w:rsid w:val="001D5D3E"/>
    <w:rsid w:val="001E689D"/>
    <w:rsid w:val="001E6AF3"/>
    <w:rsid w:val="001F0800"/>
    <w:rsid w:val="001F0A90"/>
    <w:rsid w:val="001F508A"/>
    <w:rsid w:val="00202285"/>
    <w:rsid w:val="00202881"/>
    <w:rsid w:val="00202D15"/>
    <w:rsid w:val="002049E0"/>
    <w:rsid w:val="00211790"/>
    <w:rsid w:val="00211D5F"/>
    <w:rsid w:val="002129E1"/>
    <w:rsid w:val="00213BA8"/>
    <w:rsid w:val="002151B7"/>
    <w:rsid w:val="00221F0A"/>
    <w:rsid w:val="00224F63"/>
    <w:rsid w:val="00225D3C"/>
    <w:rsid w:val="00225F4B"/>
    <w:rsid w:val="00230612"/>
    <w:rsid w:val="00230960"/>
    <w:rsid w:val="0023102B"/>
    <w:rsid w:val="00231969"/>
    <w:rsid w:val="00234EA5"/>
    <w:rsid w:val="002350DA"/>
    <w:rsid w:val="002356EC"/>
    <w:rsid w:val="002365F7"/>
    <w:rsid w:val="00241439"/>
    <w:rsid w:val="0024761C"/>
    <w:rsid w:val="00247661"/>
    <w:rsid w:val="00251A02"/>
    <w:rsid w:val="0026024A"/>
    <w:rsid w:val="002636E2"/>
    <w:rsid w:val="00264E20"/>
    <w:rsid w:val="00265BE5"/>
    <w:rsid w:val="002679EA"/>
    <w:rsid w:val="002707AA"/>
    <w:rsid w:val="00270DF8"/>
    <w:rsid w:val="002725B9"/>
    <w:rsid w:val="002750E6"/>
    <w:rsid w:val="00275CB7"/>
    <w:rsid w:val="00280A80"/>
    <w:rsid w:val="00280B32"/>
    <w:rsid w:val="00280DD3"/>
    <w:rsid w:val="00283EA5"/>
    <w:rsid w:val="0028698D"/>
    <w:rsid w:val="00286A11"/>
    <w:rsid w:val="0028761C"/>
    <w:rsid w:val="00291644"/>
    <w:rsid w:val="00291873"/>
    <w:rsid w:val="0029468C"/>
    <w:rsid w:val="00295CD1"/>
    <w:rsid w:val="00295DEB"/>
    <w:rsid w:val="00296FB0"/>
    <w:rsid w:val="00297E81"/>
    <w:rsid w:val="002A3F44"/>
    <w:rsid w:val="002A4861"/>
    <w:rsid w:val="002A48ED"/>
    <w:rsid w:val="002A4D1E"/>
    <w:rsid w:val="002A5A2B"/>
    <w:rsid w:val="002B1FEF"/>
    <w:rsid w:val="002B4727"/>
    <w:rsid w:val="002C39F8"/>
    <w:rsid w:val="002C7A3A"/>
    <w:rsid w:val="002D1809"/>
    <w:rsid w:val="002D3F96"/>
    <w:rsid w:val="002D7DBD"/>
    <w:rsid w:val="002E11DD"/>
    <w:rsid w:val="002E20C3"/>
    <w:rsid w:val="002E6A83"/>
    <w:rsid w:val="002E6EB9"/>
    <w:rsid w:val="002E783F"/>
    <w:rsid w:val="002F24D8"/>
    <w:rsid w:val="002F54D8"/>
    <w:rsid w:val="00300261"/>
    <w:rsid w:val="0030112E"/>
    <w:rsid w:val="00303E42"/>
    <w:rsid w:val="003047E7"/>
    <w:rsid w:val="00312A37"/>
    <w:rsid w:val="003163D0"/>
    <w:rsid w:val="0031687A"/>
    <w:rsid w:val="0032251D"/>
    <w:rsid w:val="0032703A"/>
    <w:rsid w:val="003330EC"/>
    <w:rsid w:val="00333143"/>
    <w:rsid w:val="003348F6"/>
    <w:rsid w:val="00334DEA"/>
    <w:rsid w:val="003375AA"/>
    <w:rsid w:val="003423D0"/>
    <w:rsid w:val="00342520"/>
    <w:rsid w:val="00343CE7"/>
    <w:rsid w:val="0034428A"/>
    <w:rsid w:val="00346E8E"/>
    <w:rsid w:val="00350F5B"/>
    <w:rsid w:val="003570EF"/>
    <w:rsid w:val="003639CD"/>
    <w:rsid w:val="00363DB8"/>
    <w:rsid w:val="003649CB"/>
    <w:rsid w:val="00366E4B"/>
    <w:rsid w:val="00371967"/>
    <w:rsid w:val="00374AC9"/>
    <w:rsid w:val="00375820"/>
    <w:rsid w:val="00375B0F"/>
    <w:rsid w:val="00375EC0"/>
    <w:rsid w:val="00380D50"/>
    <w:rsid w:val="003823FE"/>
    <w:rsid w:val="00384583"/>
    <w:rsid w:val="00385159"/>
    <w:rsid w:val="00391598"/>
    <w:rsid w:val="00394129"/>
    <w:rsid w:val="003A1234"/>
    <w:rsid w:val="003A2E32"/>
    <w:rsid w:val="003A6C63"/>
    <w:rsid w:val="003B05D3"/>
    <w:rsid w:val="003B120B"/>
    <w:rsid w:val="003B35E6"/>
    <w:rsid w:val="003B3819"/>
    <w:rsid w:val="003B4E7A"/>
    <w:rsid w:val="003B508F"/>
    <w:rsid w:val="003C29A4"/>
    <w:rsid w:val="003C3313"/>
    <w:rsid w:val="003C3E64"/>
    <w:rsid w:val="003E0D30"/>
    <w:rsid w:val="003F1873"/>
    <w:rsid w:val="003F79EA"/>
    <w:rsid w:val="00401E01"/>
    <w:rsid w:val="004053FA"/>
    <w:rsid w:val="00412966"/>
    <w:rsid w:val="004132B2"/>
    <w:rsid w:val="00413A1F"/>
    <w:rsid w:val="00415A13"/>
    <w:rsid w:val="0041692C"/>
    <w:rsid w:val="00424793"/>
    <w:rsid w:val="004304E6"/>
    <w:rsid w:val="00435970"/>
    <w:rsid w:val="004415AD"/>
    <w:rsid w:val="00441AF3"/>
    <w:rsid w:val="004430C4"/>
    <w:rsid w:val="00446108"/>
    <w:rsid w:val="00447084"/>
    <w:rsid w:val="004549BE"/>
    <w:rsid w:val="004573A9"/>
    <w:rsid w:val="00467BD9"/>
    <w:rsid w:val="0047154A"/>
    <w:rsid w:val="0047196F"/>
    <w:rsid w:val="00472DD4"/>
    <w:rsid w:val="004736B9"/>
    <w:rsid w:val="0047587E"/>
    <w:rsid w:val="00477D8F"/>
    <w:rsid w:val="00481BB0"/>
    <w:rsid w:val="00482F5E"/>
    <w:rsid w:val="00483F78"/>
    <w:rsid w:val="00484C8F"/>
    <w:rsid w:val="0048682C"/>
    <w:rsid w:val="004870C8"/>
    <w:rsid w:val="004906EC"/>
    <w:rsid w:val="00490EEF"/>
    <w:rsid w:val="004974CC"/>
    <w:rsid w:val="004A2700"/>
    <w:rsid w:val="004A278A"/>
    <w:rsid w:val="004A6B8C"/>
    <w:rsid w:val="004B19FB"/>
    <w:rsid w:val="004B2258"/>
    <w:rsid w:val="004B2CC8"/>
    <w:rsid w:val="004B2F47"/>
    <w:rsid w:val="004B4ACD"/>
    <w:rsid w:val="004C19B2"/>
    <w:rsid w:val="004C28D1"/>
    <w:rsid w:val="004C62BF"/>
    <w:rsid w:val="004D7FAA"/>
    <w:rsid w:val="004E2F6B"/>
    <w:rsid w:val="004E7D34"/>
    <w:rsid w:val="004F05A2"/>
    <w:rsid w:val="004F28FF"/>
    <w:rsid w:val="004F37DC"/>
    <w:rsid w:val="004F43B1"/>
    <w:rsid w:val="004F7337"/>
    <w:rsid w:val="00501186"/>
    <w:rsid w:val="00505717"/>
    <w:rsid w:val="005116D6"/>
    <w:rsid w:val="00516833"/>
    <w:rsid w:val="005173E7"/>
    <w:rsid w:val="00521849"/>
    <w:rsid w:val="00524A87"/>
    <w:rsid w:val="005254E0"/>
    <w:rsid w:val="00526894"/>
    <w:rsid w:val="00532004"/>
    <w:rsid w:val="00534749"/>
    <w:rsid w:val="00534F91"/>
    <w:rsid w:val="00544FE8"/>
    <w:rsid w:val="005468C6"/>
    <w:rsid w:val="00555075"/>
    <w:rsid w:val="005607F1"/>
    <w:rsid w:val="00560F8B"/>
    <w:rsid w:val="0056480B"/>
    <w:rsid w:val="0056737B"/>
    <w:rsid w:val="005703C6"/>
    <w:rsid w:val="0057535F"/>
    <w:rsid w:val="005757E4"/>
    <w:rsid w:val="0057726A"/>
    <w:rsid w:val="00581BE9"/>
    <w:rsid w:val="005903D8"/>
    <w:rsid w:val="00592319"/>
    <w:rsid w:val="00594665"/>
    <w:rsid w:val="00594CAA"/>
    <w:rsid w:val="00597660"/>
    <w:rsid w:val="005A0A13"/>
    <w:rsid w:val="005A0B49"/>
    <w:rsid w:val="005A1372"/>
    <w:rsid w:val="005A1F7F"/>
    <w:rsid w:val="005A3157"/>
    <w:rsid w:val="005A4847"/>
    <w:rsid w:val="005A4884"/>
    <w:rsid w:val="005A5617"/>
    <w:rsid w:val="005B1487"/>
    <w:rsid w:val="005B31EF"/>
    <w:rsid w:val="005B5C83"/>
    <w:rsid w:val="005B620F"/>
    <w:rsid w:val="005B6EA8"/>
    <w:rsid w:val="005B7DF4"/>
    <w:rsid w:val="005C5893"/>
    <w:rsid w:val="005C6575"/>
    <w:rsid w:val="005C6712"/>
    <w:rsid w:val="005D2505"/>
    <w:rsid w:val="005D3907"/>
    <w:rsid w:val="005D5F27"/>
    <w:rsid w:val="005E59E5"/>
    <w:rsid w:val="005E645A"/>
    <w:rsid w:val="005E7FA4"/>
    <w:rsid w:val="005F090F"/>
    <w:rsid w:val="005F213D"/>
    <w:rsid w:val="005F4EE7"/>
    <w:rsid w:val="005F71F7"/>
    <w:rsid w:val="006014DE"/>
    <w:rsid w:val="006053CD"/>
    <w:rsid w:val="0061162B"/>
    <w:rsid w:val="00612DB3"/>
    <w:rsid w:val="00613C91"/>
    <w:rsid w:val="00614461"/>
    <w:rsid w:val="00622660"/>
    <w:rsid w:val="00627C60"/>
    <w:rsid w:val="0063119F"/>
    <w:rsid w:val="0063149C"/>
    <w:rsid w:val="006317FA"/>
    <w:rsid w:val="00632E7F"/>
    <w:rsid w:val="00633F1E"/>
    <w:rsid w:val="00635850"/>
    <w:rsid w:val="00637F3C"/>
    <w:rsid w:val="00645F44"/>
    <w:rsid w:val="00647954"/>
    <w:rsid w:val="00651250"/>
    <w:rsid w:val="00654A28"/>
    <w:rsid w:val="006563CD"/>
    <w:rsid w:val="00656F6F"/>
    <w:rsid w:val="0065741D"/>
    <w:rsid w:val="00657EFE"/>
    <w:rsid w:val="0066016B"/>
    <w:rsid w:val="00660610"/>
    <w:rsid w:val="00661DFD"/>
    <w:rsid w:val="00661EB6"/>
    <w:rsid w:val="006666E6"/>
    <w:rsid w:val="006671EA"/>
    <w:rsid w:val="00674136"/>
    <w:rsid w:val="00681912"/>
    <w:rsid w:val="0068546F"/>
    <w:rsid w:val="00685DB5"/>
    <w:rsid w:val="006878B9"/>
    <w:rsid w:val="006941F3"/>
    <w:rsid w:val="00695862"/>
    <w:rsid w:val="0069625C"/>
    <w:rsid w:val="00696D46"/>
    <w:rsid w:val="006A07A3"/>
    <w:rsid w:val="006A1EE9"/>
    <w:rsid w:val="006A748D"/>
    <w:rsid w:val="006A7C52"/>
    <w:rsid w:val="006B05AA"/>
    <w:rsid w:val="006B0B3E"/>
    <w:rsid w:val="006B1896"/>
    <w:rsid w:val="006B1BB3"/>
    <w:rsid w:val="006B516B"/>
    <w:rsid w:val="006B5BD6"/>
    <w:rsid w:val="006B7DD1"/>
    <w:rsid w:val="006C34AC"/>
    <w:rsid w:val="006C7490"/>
    <w:rsid w:val="006D011C"/>
    <w:rsid w:val="006D1BB5"/>
    <w:rsid w:val="006D586E"/>
    <w:rsid w:val="006D5C45"/>
    <w:rsid w:val="006D6867"/>
    <w:rsid w:val="006D78BE"/>
    <w:rsid w:val="006D7FF3"/>
    <w:rsid w:val="006E1C13"/>
    <w:rsid w:val="006E223D"/>
    <w:rsid w:val="006E2EB5"/>
    <w:rsid w:val="006E436F"/>
    <w:rsid w:val="00703174"/>
    <w:rsid w:val="00704595"/>
    <w:rsid w:val="00704BDE"/>
    <w:rsid w:val="00705E3F"/>
    <w:rsid w:val="007116E6"/>
    <w:rsid w:val="00713C62"/>
    <w:rsid w:val="0071498D"/>
    <w:rsid w:val="0072101D"/>
    <w:rsid w:val="00723009"/>
    <w:rsid w:val="00725805"/>
    <w:rsid w:val="007260B3"/>
    <w:rsid w:val="0072639B"/>
    <w:rsid w:val="00727822"/>
    <w:rsid w:val="00730032"/>
    <w:rsid w:val="00734524"/>
    <w:rsid w:val="00735D50"/>
    <w:rsid w:val="00741539"/>
    <w:rsid w:val="00741E4C"/>
    <w:rsid w:val="00743E40"/>
    <w:rsid w:val="00745243"/>
    <w:rsid w:val="0074542F"/>
    <w:rsid w:val="00747F34"/>
    <w:rsid w:val="00753203"/>
    <w:rsid w:val="00753382"/>
    <w:rsid w:val="00753482"/>
    <w:rsid w:val="0076129D"/>
    <w:rsid w:val="00761454"/>
    <w:rsid w:val="00761A08"/>
    <w:rsid w:val="007740A6"/>
    <w:rsid w:val="00776D52"/>
    <w:rsid w:val="00777A03"/>
    <w:rsid w:val="007814A6"/>
    <w:rsid w:val="00781E4E"/>
    <w:rsid w:val="0078628A"/>
    <w:rsid w:val="00797CCC"/>
    <w:rsid w:val="007A4E14"/>
    <w:rsid w:val="007A5345"/>
    <w:rsid w:val="007A5591"/>
    <w:rsid w:val="007A7F4A"/>
    <w:rsid w:val="007C10A1"/>
    <w:rsid w:val="007C549C"/>
    <w:rsid w:val="007D03A2"/>
    <w:rsid w:val="007D0605"/>
    <w:rsid w:val="007D0791"/>
    <w:rsid w:val="007D0E07"/>
    <w:rsid w:val="007D775A"/>
    <w:rsid w:val="007E10C5"/>
    <w:rsid w:val="007E2732"/>
    <w:rsid w:val="007E2AB9"/>
    <w:rsid w:val="007E763D"/>
    <w:rsid w:val="00800793"/>
    <w:rsid w:val="008025A1"/>
    <w:rsid w:val="00802991"/>
    <w:rsid w:val="00803A21"/>
    <w:rsid w:val="00804A2D"/>
    <w:rsid w:val="00807FC6"/>
    <w:rsid w:val="00811FBE"/>
    <w:rsid w:val="00816425"/>
    <w:rsid w:val="008259A6"/>
    <w:rsid w:val="00827719"/>
    <w:rsid w:val="008317A4"/>
    <w:rsid w:val="008320B2"/>
    <w:rsid w:val="00833231"/>
    <w:rsid w:val="008344A7"/>
    <w:rsid w:val="00835232"/>
    <w:rsid w:val="0084071E"/>
    <w:rsid w:val="00840B2D"/>
    <w:rsid w:val="008437D9"/>
    <w:rsid w:val="00851614"/>
    <w:rsid w:val="00853D36"/>
    <w:rsid w:val="008606FE"/>
    <w:rsid w:val="00863950"/>
    <w:rsid w:val="00863A87"/>
    <w:rsid w:val="00871E97"/>
    <w:rsid w:val="008729C9"/>
    <w:rsid w:val="00875CCA"/>
    <w:rsid w:val="00876D6F"/>
    <w:rsid w:val="00877674"/>
    <w:rsid w:val="00880415"/>
    <w:rsid w:val="00880A6A"/>
    <w:rsid w:val="00881822"/>
    <w:rsid w:val="00882463"/>
    <w:rsid w:val="00883955"/>
    <w:rsid w:val="008913F4"/>
    <w:rsid w:val="00892E9C"/>
    <w:rsid w:val="00895D0F"/>
    <w:rsid w:val="008A3213"/>
    <w:rsid w:val="008A3696"/>
    <w:rsid w:val="008A3E51"/>
    <w:rsid w:val="008B3BA0"/>
    <w:rsid w:val="008B60B3"/>
    <w:rsid w:val="008C1C09"/>
    <w:rsid w:val="008C39E6"/>
    <w:rsid w:val="008C645A"/>
    <w:rsid w:val="008C71DA"/>
    <w:rsid w:val="008C7516"/>
    <w:rsid w:val="008C7C9D"/>
    <w:rsid w:val="008D211C"/>
    <w:rsid w:val="008D4425"/>
    <w:rsid w:val="008D74E3"/>
    <w:rsid w:val="008E08D0"/>
    <w:rsid w:val="00903977"/>
    <w:rsid w:val="009115F4"/>
    <w:rsid w:val="00923CC4"/>
    <w:rsid w:val="00925A43"/>
    <w:rsid w:val="0094072B"/>
    <w:rsid w:val="009413B9"/>
    <w:rsid w:val="009420F8"/>
    <w:rsid w:val="0094614B"/>
    <w:rsid w:val="00946D63"/>
    <w:rsid w:val="00951167"/>
    <w:rsid w:val="009530D6"/>
    <w:rsid w:val="00953CCB"/>
    <w:rsid w:val="00955736"/>
    <w:rsid w:val="00956EC7"/>
    <w:rsid w:val="00961A0F"/>
    <w:rsid w:val="009635D4"/>
    <w:rsid w:val="00963BDE"/>
    <w:rsid w:val="00966244"/>
    <w:rsid w:val="00991288"/>
    <w:rsid w:val="00991BC3"/>
    <w:rsid w:val="009921AB"/>
    <w:rsid w:val="009921EE"/>
    <w:rsid w:val="00992391"/>
    <w:rsid w:val="0099504D"/>
    <w:rsid w:val="009970D0"/>
    <w:rsid w:val="009A6304"/>
    <w:rsid w:val="009A69C7"/>
    <w:rsid w:val="009B1D88"/>
    <w:rsid w:val="009B21B2"/>
    <w:rsid w:val="009B274E"/>
    <w:rsid w:val="009C1E70"/>
    <w:rsid w:val="009C3006"/>
    <w:rsid w:val="009C69DA"/>
    <w:rsid w:val="009D0E21"/>
    <w:rsid w:val="009D1D0F"/>
    <w:rsid w:val="009D39C4"/>
    <w:rsid w:val="009D604E"/>
    <w:rsid w:val="009E020F"/>
    <w:rsid w:val="009E1EAD"/>
    <w:rsid w:val="009E4E59"/>
    <w:rsid w:val="009E769F"/>
    <w:rsid w:val="009F4FA5"/>
    <w:rsid w:val="009F5FE1"/>
    <w:rsid w:val="009F7C90"/>
    <w:rsid w:val="00A03325"/>
    <w:rsid w:val="00A03B14"/>
    <w:rsid w:val="00A03F3A"/>
    <w:rsid w:val="00A042B6"/>
    <w:rsid w:val="00A048FB"/>
    <w:rsid w:val="00A053B8"/>
    <w:rsid w:val="00A128B7"/>
    <w:rsid w:val="00A130F4"/>
    <w:rsid w:val="00A13D80"/>
    <w:rsid w:val="00A2404E"/>
    <w:rsid w:val="00A24F7E"/>
    <w:rsid w:val="00A30379"/>
    <w:rsid w:val="00A40F77"/>
    <w:rsid w:val="00A41733"/>
    <w:rsid w:val="00A42B6F"/>
    <w:rsid w:val="00A44B43"/>
    <w:rsid w:val="00A4649C"/>
    <w:rsid w:val="00A465CC"/>
    <w:rsid w:val="00A47D31"/>
    <w:rsid w:val="00A5043A"/>
    <w:rsid w:val="00A513E7"/>
    <w:rsid w:val="00A5360B"/>
    <w:rsid w:val="00A568F5"/>
    <w:rsid w:val="00A57177"/>
    <w:rsid w:val="00A664D8"/>
    <w:rsid w:val="00A709D6"/>
    <w:rsid w:val="00A712C9"/>
    <w:rsid w:val="00A71F68"/>
    <w:rsid w:val="00A725A9"/>
    <w:rsid w:val="00A73F4F"/>
    <w:rsid w:val="00A74153"/>
    <w:rsid w:val="00A77845"/>
    <w:rsid w:val="00A77B9D"/>
    <w:rsid w:val="00A81527"/>
    <w:rsid w:val="00A81CF5"/>
    <w:rsid w:val="00A9022C"/>
    <w:rsid w:val="00A912C3"/>
    <w:rsid w:val="00A917CE"/>
    <w:rsid w:val="00A944E9"/>
    <w:rsid w:val="00A94B3C"/>
    <w:rsid w:val="00A96A94"/>
    <w:rsid w:val="00A96D13"/>
    <w:rsid w:val="00AA7E21"/>
    <w:rsid w:val="00AB0567"/>
    <w:rsid w:val="00AB33C5"/>
    <w:rsid w:val="00AB47C9"/>
    <w:rsid w:val="00AB4CD2"/>
    <w:rsid w:val="00AB5E76"/>
    <w:rsid w:val="00AC588D"/>
    <w:rsid w:val="00AC7368"/>
    <w:rsid w:val="00AC7EB7"/>
    <w:rsid w:val="00AD25A9"/>
    <w:rsid w:val="00AD444F"/>
    <w:rsid w:val="00AD57A1"/>
    <w:rsid w:val="00AD62B3"/>
    <w:rsid w:val="00AD67A8"/>
    <w:rsid w:val="00AD772C"/>
    <w:rsid w:val="00AE2B1E"/>
    <w:rsid w:val="00AF15AE"/>
    <w:rsid w:val="00AF2E5C"/>
    <w:rsid w:val="00AF76A2"/>
    <w:rsid w:val="00B00B01"/>
    <w:rsid w:val="00B00B8F"/>
    <w:rsid w:val="00B017DA"/>
    <w:rsid w:val="00B02A76"/>
    <w:rsid w:val="00B02D01"/>
    <w:rsid w:val="00B02D67"/>
    <w:rsid w:val="00B02EE4"/>
    <w:rsid w:val="00B16F55"/>
    <w:rsid w:val="00B205FC"/>
    <w:rsid w:val="00B2231D"/>
    <w:rsid w:val="00B22880"/>
    <w:rsid w:val="00B25B7F"/>
    <w:rsid w:val="00B2615E"/>
    <w:rsid w:val="00B2660C"/>
    <w:rsid w:val="00B26A10"/>
    <w:rsid w:val="00B31143"/>
    <w:rsid w:val="00B31941"/>
    <w:rsid w:val="00B327F5"/>
    <w:rsid w:val="00B32E29"/>
    <w:rsid w:val="00B33491"/>
    <w:rsid w:val="00B35947"/>
    <w:rsid w:val="00B43349"/>
    <w:rsid w:val="00B438E7"/>
    <w:rsid w:val="00B4436E"/>
    <w:rsid w:val="00B444B4"/>
    <w:rsid w:val="00B448B1"/>
    <w:rsid w:val="00B509A5"/>
    <w:rsid w:val="00B5175A"/>
    <w:rsid w:val="00B52683"/>
    <w:rsid w:val="00B5291B"/>
    <w:rsid w:val="00B52B6C"/>
    <w:rsid w:val="00B60989"/>
    <w:rsid w:val="00B620ED"/>
    <w:rsid w:val="00B70D26"/>
    <w:rsid w:val="00B721A6"/>
    <w:rsid w:val="00B762F1"/>
    <w:rsid w:val="00B7758D"/>
    <w:rsid w:val="00B778A4"/>
    <w:rsid w:val="00B84EBA"/>
    <w:rsid w:val="00B868B2"/>
    <w:rsid w:val="00B86B02"/>
    <w:rsid w:val="00B920E6"/>
    <w:rsid w:val="00B93B7F"/>
    <w:rsid w:val="00B945FA"/>
    <w:rsid w:val="00B94A57"/>
    <w:rsid w:val="00B94F5D"/>
    <w:rsid w:val="00B96E90"/>
    <w:rsid w:val="00BA2669"/>
    <w:rsid w:val="00BA3CB1"/>
    <w:rsid w:val="00BB1FB9"/>
    <w:rsid w:val="00BB21EE"/>
    <w:rsid w:val="00BC119A"/>
    <w:rsid w:val="00BC33CC"/>
    <w:rsid w:val="00BC71CC"/>
    <w:rsid w:val="00BD0D26"/>
    <w:rsid w:val="00BD1970"/>
    <w:rsid w:val="00BD2A20"/>
    <w:rsid w:val="00BD3825"/>
    <w:rsid w:val="00BD6ADF"/>
    <w:rsid w:val="00BE62A3"/>
    <w:rsid w:val="00BF11F6"/>
    <w:rsid w:val="00BF3078"/>
    <w:rsid w:val="00BF56CE"/>
    <w:rsid w:val="00C12928"/>
    <w:rsid w:val="00C226A2"/>
    <w:rsid w:val="00C24256"/>
    <w:rsid w:val="00C25DFE"/>
    <w:rsid w:val="00C26DED"/>
    <w:rsid w:val="00C26E82"/>
    <w:rsid w:val="00C322E1"/>
    <w:rsid w:val="00C3279A"/>
    <w:rsid w:val="00C3419E"/>
    <w:rsid w:val="00C3605D"/>
    <w:rsid w:val="00C36748"/>
    <w:rsid w:val="00C419BE"/>
    <w:rsid w:val="00C46957"/>
    <w:rsid w:val="00C54216"/>
    <w:rsid w:val="00C56660"/>
    <w:rsid w:val="00C570E1"/>
    <w:rsid w:val="00C613C5"/>
    <w:rsid w:val="00C717A6"/>
    <w:rsid w:val="00C74A63"/>
    <w:rsid w:val="00C75DC6"/>
    <w:rsid w:val="00C75F79"/>
    <w:rsid w:val="00C7765A"/>
    <w:rsid w:val="00C81DA3"/>
    <w:rsid w:val="00C81DCD"/>
    <w:rsid w:val="00C8384A"/>
    <w:rsid w:val="00C84FD5"/>
    <w:rsid w:val="00C91489"/>
    <w:rsid w:val="00C9233E"/>
    <w:rsid w:val="00C9508A"/>
    <w:rsid w:val="00C9675B"/>
    <w:rsid w:val="00CA09DE"/>
    <w:rsid w:val="00CA2860"/>
    <w:rsid w:val="00CA7279"/>
    <w:rsid w:val="00CB17C8"/>
    <w:rsid w:val="00CB2852"/>
    <w:rsid w:val="00CB3DBC"/>
    <w:rsid w:val="00CC2B74"/>
    <w:rsid w:val="00CC6911"/>
    <w:rsid w:val="00CE1294"/>
    <w:rsid w:val="00CE2111"/>
    <w:rsid w:val="00CE3CC3"/>
    <w:rsid w:val="00CF196E"/>
    <w:rsid w:val="00D042E2"/>
    <w:rsid w:val="00D057EF"/>
    <w:rsid w:val="00D06807"/>
    <w:rsid w:val="00D07A94"/>
    <w:rsid w:val="00D122EE"/>
    <w:rsid w:val="00D14782"/>
    <w:rsid w:val="00D14E36"/>
    <w:rsid w:val="00D15F26"/>
    <w:rsid w:val="00D25BBF"/>
    <w:rsid w:val="00D26124"/>
    <w:rsid w:val="00D30AE3"/>
    <w:rsid w:val="00D32B09"/>
    <w:rsid w:val="00D32FD5"/>
    <w:rsid w:val="00D351F5"/>
    <w:rsid w:val="00D4232B"/>
    <w:rsid w:val="00D445F1"/>
    <w:rsid w:val="00D44E96"/>
    <w:rsid w:val="00D4554E"/>
    <w:rsid w:val="00D46B6B"/>
    <w:rsid w:val="00D50CE0"/>
    <w:rsid w:val="00D51E28"/>
    <w:rsid w:val="00D5460D"/>
    <w:rsid w:val="00D558F0"/>
    <w:rsid w:val="00D56E86"/>
    <w:rsid w:val="00D57BAE"/>
    <w:rsid w:val="00D6350E"/>
    <w:rsid w:val="00D66785"/>
    <w:rsid w:val="00D722F3"/>
    <w:rsid w:val="00D73402"/>
    <w:rsid w:val="00D741B8"/>
    <w:rsid w:val="00D761E7"/>
    <w:rsid w:val="00D76E82"/>
    <w:rsid w:val="00D81F43"/>
    <w:rsid w:val="00D8419C"/>
    <w:rsid w:val="00D86408"/>
    <w:rsid w:val="00D90081"/>
    <w:rsid w:val="00D905AE"/>
    <w:rsid w:val="00D932D5"/>
    <w:rsid w:val="00D940FD"/>
    <w:rsid w:val="00DA1675"/>
    <w:rsid w:val="00DA1A34"/>
    <w:rsid w:val="00DA1F21"/>
    <w:rsid w:val="00DA74A8"/>
    <w:rsid w:val="00DB4217"/>
    <w:rsid w:val="00DC006A"/>
    <w:rsid w:val="00DC1767"/>
    <w:rsid w:val="00DC3E5F"/>
    <w:rsid w:val="00DD4A66"/>
    <w:rsid w:val="00DE08F7"/>
    <w:rsid w:val="00DE1225"/>
    <w:rsid w:val="00DE1B8B"/>
    <w:rsid w:val="00DE58BF"/>
    <w:rsid w:val="00DE701D"/>
    <w:rsid w:val="00DF0AD9"/>
    <w:rsid w:val="00DF16D6"/>
    <w:rsid w:val="00DF2A2A"/>
    <w:rsid w:val="00DF3CB1"/>
    <w:rsid w:val="00DF56AC"/>
    <w:rsid w:val="00E049DE"/>
    <w:rsid w:val="00E11CE2"/>
    <w:rsid w:val="00E13509"/>
    <w:rsid w:val="00E14A92"/>
    <w:rsid w:val="00E16D46"/>
    <w:rsid w:val="00E22E9F"/>
    <w:rsid w:val="00E25D97"/>
    <w:rsid w:val="00E27390"/>
    <w:rsid w:val="00E27686"/>
    <w:rsid w:val="00E45139"/>
    <w:rsid w:val="00E47850"/>
    <w:rsid w:val="00E50D3B"/>
    <w:rsid w:val="00E51B5A"/>
    <w:rsid w:val="00E5202C"/>
    <w:rsid w:val="00E60672"/>
    <w:rsid w:val="00E63E50"/>
    <w:rsid w:val="00E6449A"/>
    <w:rsid w:val="00E65230"/>
    <w:rsid w:val="00E75C86"/>
    <w:rsid w:val="00E81DCA"/>
    <w:rsid w:val="00E81E0D"/>
    <w:rsid w:val="00E82FA9"/>
    <w:rsid w:val="00E93838"/>
    <w:rsid w:val="00E9651C"/>
    <w:rsid w:val="00E971DE"/>
    <w:rsid w:val="00E97876"/>
    <w:rsid w:val="00EA1A01"/>
    <w:rsid w:val="00EA6032"/>
    <w:rsid w:val="00EA63C6"/>
    <w:rsid w:val="00EA64F5"/>
    <w:rsid w:val="00EB0357"/>
    <w:rsid w:val="00EB1E14"/>
    <w:rsid w:val="00EB201B"/>
    <w:rsid w:val="00EB4DC6"/>
    <w:rsid w:val="00EC2611"/>
    <w:rsid w:val="00EC2DD8"/>
    <w:rsid w:val="00ED059B"/>
    <w:rsid w:val="00ED25D3"/>
    <w:rsid w:val="00ED4F96"/>
    <w:rsid w:val="00EE0D0E"/>
    <w:rsid w:val="00EE6A5D"/>
    <w:rsid w:val="00EF32A5"/>
    <w:rsid w:val="00F022AD"/>
    <w:rsid w:val="00F031BD"/>
    <w:rsid w:val="00F060F4"/>
    <w:rsid w:val="00F0611E"/>
    <w:rsid w:val="00F208B5"/>
    <w:rsid w:val="00F2436E"/>
    <w:rsid w:val="00F2559E"/>
    <w:rsid w:val="00F26BA0"/>
    <w:rsid w:val="00F3197B"/>
    <w:rsid w:val="00F3269A"/>
    <w:rsid w:val="00F335A3"/>
    <w:rsid w:val="00F36217"/>
    <w:rsid w:val="00F4397B"/>
    <w:rsid w:val="00F54D02"/>
    <w:rsid w:val="00F60598"/>
    <w:rsid w:val="00F62305"/>
    <w:rsid w:val="00F678AC"/>
    <w:rsid w:val="00F70557"/>
    <w:rsid w:val="00F74D00"/>
    <w:rsid w:val="00F75B3A"/>
    <w:rsid w:val="00F765CC"/>
    <w:rsid w:val="00F817A5"/>
    <w:rsid w:val="00F83190"/>
    <w:rsid w:val="00F83BB1"/>
    <w:rsid w:val="00F84A96"/>
    <w:rsid w:val="00F85549"/>
    <w:rsid w:val="00F9066E"/>
    <w:rsid w:val="00FA11D4"/>
    <w:rsid w:val="00FA1F8D"/>
    <w:rsid w:val="00FA5721"/>
    <w:rsid w:val="00FA58C6"/>
    <w:rsid w:val="00FA5B02"/>
    <w:rsid w:val="00FA6838"/>
    <w:rsid w:val="00FA7D1B"/>
    <w:rsid w:val="00FB02E3"/>
    <w:rsid w:val="00FB0D92"/>
    <w:rsid w:val="00FB20D2"/>
    <w:rsid w:val="00FB388F"/>
    <w:rsid w:val="00FB5616"/>
    <w:rsid w:val="00FB628C"/>
    <w:rsid w:val="00FB65BE"/>
    <w:rsid w:val="00FC30A0"/>
    <w:rsid w:val="00FD54CC"/>
    <w:rsid w:val="00FE0ACA"/>
    <w:rsid w:val="00FE13C8"/>
    <w:rsid w:val="00FE28C2"/>
    <w:rsid w:val="00FE3211"/>
    <w:rsid w:val="00FE734F"/>
    <w:rsid w:val="00FF039E"/>
    <w:rsid w:val="00FF3FD6"/>
    <w:rsid w:val="00FF4628"/>
    <w:rsid w:val="00FF4F9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6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4CC"/>
    <w:rPr>
      <w:sz w:val="24"/>
      <w:szCs w:val="24"/>
    </w:rPr>
  </w:style>
  <w:style w:type="paragraph" w:styleId="Nagwek1">
    <w:name w:val="heading 1"/>
    <w:basedOn w:val="Normalny"/>
    <w:next w:val="Normalny"/>
    <w:link w:val="Nagwek1Znak"/>
    <w:uiPriority w:val="9"/>
    <w:qFormat/>
    <w:rsid w:val="00441AF3"/>
    <w:pPr>
      <w:keepNext/>
      <w:keepLines/>
      <w:spacing w:before="240"/>
      <w:outlineLvl w:val="0"/>
    </w:pPr>
    <w:rPr>
      <w:rFonts w:eastAsia="Times New Roman"/>
      <w:color w:val="365F91"/>
      <w:sz w:val="32"/>
      <w:szCs w:val="32"/>
    </w:rPr>
  </w:style>
  <w:style w:type="paragraph" w:styleId="Nagwek2">
    <w:name w:val="heading 2"/>
    <w:basedOn w:val="Normalny"/>
    <w:next w:val="Normalny"/>
    <w:link w:val="Nagwek2Znak"/>
    <w:uiPriority w:val="99"/>
    <w:qFormat/>
    <w:rsid w:val="00880415"/>
    <w:pPr>
      <w:keepNext/>
      <w:spacing w:line="360" w:lineRule="auto"/>
      <w:ind w:left="284" w:firstLine="709"/>
      <w:jc w:val="center"/>
      <w:outlineLvl w:val="1"/>
    </w:pPr>
    <w:rPr>
      <w:rFonts w:ascii="Arial" w:hAnsi="Arial" w:cs="Arial"/>
      <w:b/>
      <w:bCs/>
      <w:lang w:val="en-GB"/>
    </w:rPr>
  </w:style>
  <w:style w:type="paragraph" w:styleId="Nagwek6">
    <w:name w:val="heading 6"/>
    <w:basedOn w:val="Normalny"/>
    <w:next w:val="Normalny"/>
    <w:link w:val="Nagwek6Znak"/>
    <w:uiPriority w:val="99"/>
    <w:qFormat/>
    <w:rsid w:val="00880415"/>
    <w:pPr>
      <w:keepNext/>
      <w:spacing w:line="360" w:lineRule="auto"/>
      <w:ind w:left="-567"/>
      <w:outlineLvl w:val="5"/>
    </w:pPr>
    <w:rPr>
      <w:rFonts w:ascii="Arial" w:hAnsi="Arial" w:cs="Arial"/>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441AF3"/>
    <w:rPr>
      <w:rFonts w:ascii="Cambria" w:eastAsia="Times New Roman" w:hAnsi="Cambria" w:cs="Times New Roman"/>
      <w:color w:val="365F91"/>
      <w:sz w:val="32"/>
      <w:szCs w:val="32"/>
    </w:rPr>
  </w:style>
  <w:style w:type="character" w:customStyle="1" w:styleId="Nagwek2Znak">
    <w:name w:val="Nagłówek 2 Znak"/>
    <w:link w:val="Nagwek2"/>
    <w:uiPriority w:val="99"/>
    <w:locked/>
    <w:rsid w:val="00880415"/>
    <w:rPr>
      <w:rFonts w:ascii="Arial" w:hAnsi="Arial" w:cs="Arial"/>
      <w:b/>
      <w:bCs/>
      <w:sz w:val="24"/>
      <w:szCs w:val="24"/>
      <w:lang w:val="en-GB" w:eastAsia="x-none"/>
    </w:rPr>
  </w:style>
  <w:style w:type="character" w:customStyle="1" w:styleId="Nagwek6Znak">
    <w:name w:val="Nagłówek 6 Znak"/>
    <w:link w:val="Nagwek6"/>
    <w:uiPriority w:val="99"/>
    <w:locked/>
    <w:rsid w:val="00880415"/>
    <w:rPr>
      <w:rFonts w:ascii="Arial" w:hAnsi="Arial" w:cs="Arial"/>
      <w:sz w:val="24"/>
      <w:szCs w:val="24"/>
      <w:lang w:val="en-GB" w:eastAsia="x-none"/>
    </w:rPr>
  </w:style>
  <w:style w:type="paragraph" w:styleId="Nagwek">
    <w:name w:val="header"/>
    <w:basedOn w:val="Normalny"/>
    <w:link w:val="NagwekZnak"/>
    <w:uiPriority w:val="99"/>
    <w:unhideWhenUsed/>
    <w:rsid w:val="006B516B"/>
    <w:pPr>
      <w:tabs>
        <w:tab w:val="center" w:pos="4536"/>
        <w:tab w:val="right" w:pos="9072"/>
      </w:tabs>
    </w:pPr>
  </w:style>
  <w:style w:type="character" w:customStyle="1" w:styleId="NagwekZnak">
    <w:name w:val="Nagłówek Znak"/>
    <w:link w:val="Nagwek"/>
    <w:uiPriority w:val="99"/>
    <w:locked/>
    <w:rsid w:val="006B516B"/>
    <w:rPr>
      <w:rFonts w:cs="Times New Roman"/>
      <w:lang w:val="pl-PL" w:eastAsia="x-none"/>
    </w:rPr>
  </w:style>
  <w:style w:type="paragraph" w:styleId="Stopka">
    <w:name w:val="footer"/>
    <w:basedOn w:val="Normalny"/>
    <w:link w:val="StopkaZnak"/>
    <w:uiPriority w:val="99"/>
    <w:unhideWhenUsed/>
    <w:rsid w:val="006B516B"/>
    <w:pPr>
      <w:tabs>
        <w:tab w:val="center" w:pos="4536"/>
        <w:tab w:val="right" w:pos="9072"/>
      </w:tabs>
    </w:pPr>
  </w:style>
  <w:style w:type="character" w:customStyle="1" w:styleId="StopkaZnak">
    <w:name w:val="Stopka Znak"/>
    <w:link w:val="Stopka"/>
    <w:uiPriority w:val="99"/>
    <w:locked/>
    <w:rsid w:val="006B516B"/>
    <w:rPr>
      <w:rFonts w:cs="Times New Roman"/>
      <w:lang w:val="pl-PL" w:eastAsia="x-none"/>
    </w:rPr>
  </w:style>
  <w:style w:type="paragraph" w:styleId="Tekstdymka">
    <w:name w:val="Balloon Text"/>
    <w:basedOn w:val="Normalny"/>
    <w:link w:val="TekstdymkaZnak"/>
    <w:uiPriority w:val="99"/>
    <w:semiHidden/>
    <w:unhideWhenUsed/>
    <w:rsid w:val="006B516B"/>
    <w:rPr>
      <w:rFonts w:ascii="Lucida Grande CE" w:hAnsi="Lucida Grande CE" w:cs="Lucida Grande CE"/>
      <w:sz w:val="18"/>
      <w:szCs w:val="18"/>
    </w:rPr>
  </w:style>
  <w:style w:type="character" w:customStyle="1" w:styleId="TekstdymkaZnak">
    <w:name w:val="Tekst dymka Znak"/>
    <w:link w:val="Tekstdymka"/>
    <w:uiPriority w:val="99"/>
    <w:semiHidden/>
    <w:locked/>
    <w:rsid w:val="006B516B"/>
    <w:rPr>
      <w:rFonts w:ascii="Lucida Grande CE" w:eastAsia="Times New Roman" w:cs="Times New Roman"/>
      <w:sz w:val="18"/>
      <w:lang w:val="pl-PL" w:eastAsia="x-none"/>
    </w:rPr>
  </w:style>
  <w:style w:type="character" w:customStyle="1" w:styleId="luchili">
    <w:name w:val="luc_hili"/>
    <w:rsid w:val="00F765CC"/>
    <w:rPr>
      <w:rFonts w:cs="Times New Roman"/>
    </w:rPr>
  </w:style>
  <w:style w:type="paragraph" w:styleId="Tekstpodstawowy">
    <w:name w:val="Body Text"/>
    <w:basedOn w:val="Normalny"/>
    <w:link w:val="TekstpodstawowyZnak"/>
    <w:uiPriority w:val="99"/>
    <w:unhideWhenUsed/>
    <w:rsid w:val="00880415"/>
    <w:pPr>
      <w:spacing w:after="120"/>
    </w:pPr>
  </w:style>
  <w:style w:type="character" w:customStyle="1" w:styleId="TekstpodstawowyZnak">
    <w:name w:val="Tekst podstawowy Znak"/>
    <w:link w:val="Tekstpodstawowy"/>
    <w:uiPriority w:val="99"/>
    <w:locked/>
    <w:rsid w:val="00880415"/>
    <w:rPr>
      <w:rFonts w:cs="Times New Roman"/>
      <w:sz w:val="24"/>
      <w:szCs w:val="24"/>
    </w:rPr>
  </w:style>
  <w:style w:type="paragraph" w:styleId="Tekstprzypisudolnego">
    <w:name w:val="footnote text"/>
    <w:aliases w:val="Fußnotentextf,Note de bas de page Car Car Car Car Car Car Car Car Car Car,Note de bas de page Car Car Car Car,Note de bas de page Car Car Car Car Car Car Car Car Car,ft,Note de bas de page Car Car Car Car Car Car Car Car,fußn,fn"/>
    <w:basedOn w:val="Normalny"/>
    <w:link w:val="TekstprzypisudolnegoZnak"/>
    <w:uiPriority w:val="99"/>
    <w:qFormat/>
    <w:rsid w:val="00880415"/>
    <w:pPr>
      <w:autoSpaceDE w:val="0"/>
      <w:autoSpaceDN w:val="0"/>
      <w:spacing w:before="40"/>
      <w:ind w:left="113" w:hanging="113"/>
      <w:jc w:val="both"/>
    </w:pPr>
    <w:rPr>
      <w:rFonts w:ascii="Arial" w:hAnsi="Arial" w:cs="Arial"/>
      <w:spacing w:val="-2"/>
      <w:sz w:val="20"/>
      <w:szCs w:val="20"/>
      <w:lang w:val="en-GB"/>
    </w:rPr>
  </w:style>
  <w:style w:type="character" w:customStyle="1" w:styleId="TekstprzypisudolnegoZnak">
    <w:name w:val="Tekst przypisu dolnego Znak"/>
    <w:aliases w:val="Fußnotentextf Znak,Note de bas de page Car Car Car Car Car Car Car Car Car Car Znak,Note de bas de page Car Car Car Car Znak,Note de bas de page Car Car Car Car Car Car Car Car Car Znak,ft Znak,fußn Znak,fn Znak"/>
    <w:link w:val="Tekstprzypisudolnego"/>
    <w:uiPriority w:val="99"/>
    <w:locked/>
    <w:rsid w:val="00880415"/>
    <w:rPr>
      <w:rFonts w:ascii="Arial" w:hAnsi="Arial" w:cs="Arial"/>
      <w:spacing w:val="-2"/>
      <w:lang w:val="en-GB" w:eastAsia="x-none"/>
    </w:rPr>
  </w:style>
  <w:style w:type="character" w:styleId="Odwoanieprzypisudolnego">
    <w:name w:val="footnote reference"/>
    <w:aliases w:val="Footnote Reference Superscript,Footnote symbol,BVI fnr,Footnote reference number,Footnotemark,FR,Footnotemark1,Footnotemark2,FR1,Footnotemark3,FR2,Footnotemark4,FR3,Footnotemark5,FR4,Footnotemark6,Footnotemark7,Footnotemark8,F"/>
    <w:link w:val="FootnotesymbolCarZchn"/>
    <w:uiPriority w:val="99"/>
    <w:qFormat/>
    <w:rsid w:val="00880415"/>
    <w:rPr>
      <w:rFonts w:cs="Times New Roman"/>
      <w:vertAlign w:val="superscript"/>
    </w:rPr>
  </w:style>
  <w:style w:type="paragraph" w:styleId="Akapitzlist">
    <w:name w:val="List Paragraph"/>
    <w:aliases w:val="Dot pt,F5 List Paragraph,List Paragraph1,Recommendation,List Paragraph11,Akapit z listą1,Listaszerű bekezdés1,List Paragraph à moi,Numbered Para 1,No Spacing1,Indicator Text,Bullet 1,List Paragraph Char Char Char,2,3,LISTA,List Paragraph"/>
    <w:basedOn w:val="Normalny"/>
    <w:link w:val="AkapitzlistZnak"/>
    <w:uiPriority w:val="34"/>
    <w:qFormat/>
    <w:rsid w:val="001C6034"/>
    <w:pPr>
      <w:ind w:left="720"/>
      <w:contextualSpacing/>
    </w:pPr>
    <w:rPr>
      <w:lang w:val="x-none" w:eastAsia="x-none"/>
    </w:rPr>
  </w:style>
  <w:style w:type="paragraph" w:styleId="Tekstpodstawowy3">
    <w:name w:val="Body Text 3"/>
    <w:basedOn w:val="Normalny"/>
    <w:link w:val="Tekstpodstawowy3Znak"/>
    <w:uiPriority w:val="99"/>
    <w:semiHidden/>
    <w:unhideWhenUsed/>
    <w:rsid w:val="00150EB4"/>
    <w:pPr>
      <w:spacing w:after="120"/>
    </w:pPr>
    <w:rPr>
      <w:sz w:val="16"/>
      <w:szCs w:val="16"/>
    </w:rPr>
  </w:style>
  <w:style w:type="character" w:customStyle="1" w:styleId="Tekstpodstawowy3Znak">
    <w:name w:val="Tekst podstawowy 3 Znak"/>
    <w:link w:val="Tekstpodstawowy3"/>
    <w:uiPriority w:val="99"/>
    <w:semiHidden/>
    <w:locked/>
    <w:rsid w:val="00150EB4"/>
    <w:rPr>
      <w:rFonts w:cs="Times New Roman"/>
      <w:sz w:val="16"/>
      <w:szCs w:val="16"/>
    </w:rPr>
  </w:style>
  <w:style w:type="character" w:styleId="Hipercze">
    <w:name w:val="Hyperlink"/>
    <w:uiPriority w:val="99"/>
    <w:rsid w:val="00CE2111"/>
    <w:rPr>
      <w:rFonts w:cs="Times New Roman"/>
      <w:color w:val="0000FF"/>
      <w:u w:val="single"/>
    </w:rPr>
  </w:style>
  <w:style w:type="paragraph" w:customStyle="1" w:styleId="CM1">
    <w:name w:val="CM1"/>
    <w:basedOn w:val="Normalny"/>
    <w:next w:val="Normalny"/>
    <w:rsid w:val="007D775A"/>
    <w:pPr>
      <w:autoSpaceDE w:val="0"/>
      <w:autoSpaceDN w:val="0"/>
      <w:adjustRightInd w:val="0"/>
    </w:pPr>
    <w:rPr>
      <w:rFonts w:ascii="EUAlbertina" w:hAnsi="EUAlbertina"/>
      <w:lang w:val="en-GB" w:eastAsia="en-GB"/>
    </w:rPr>
  </w:style>
  <w:style w:type="paragraph" w:styleId="Legenda">
    <w:name w:val="caption"/>
    <w:basedOn w:val="Normalny"/>
    <w:next w:val="Normalny"/>
    <w:uiPriority w:val="35"/>
    <w:qFormat/>
    <w:rsid w:val="007D775A"/>
    <w:pPr>
      <w:spacing w:before="120" w:after="120"/>
      <w:jc w:val="both"/>
    </w:pPr>
    <w:rPr>
      <w:rFonts w:ascii="Times New Roman" w:hAnsi="Times New Roman"/>
      <w:b/>
      <w:bCs/>
      <w:sz w:val="20"/>
      <w:szCs w:val="20"/>
      <w:lang w:eastAsia="en-GB"/>
    </w:rPr>
  </w:style>
  <w:style w:type="character" w:customStyle="1" w:styleId="at2">
    <w:name w:val="a__t2"/>
    <w:rsid w:val="007D775A"/>
    <w:rPr>
      <w:rFonts w:cs="Times New Roman"/>
      <w:shd w:val="clear" w:color="auto" w:fill="auto"/>
    </w:rPr>
  </w:style>
  <w:style w:type="paragraph" w:customStyle="1" w:styleId="Domynie">
    <w:name w:val="Domy徑nie"/>
    <w:rsid w:val="00AD67A8"/>
    <w:pPr>
      <w:widowControl w:val="0"/>
      <w:autoSpaceDN w:val="0"/>
      <w:adjustRightInd w:val="0"/>
    </w:pPr>
    <w:rPr>
      <w:rFonts w:eastAsia="Times New Roman" w:hAnsi="MS Mincho" w:cs="Cambria"/>
      <w:sz w:val="24"/>
      <w:szCs w:val="24"/>
    </w:rPr>
  </w:style>
  <w:style w:type="paragraph" w:customStyle="1" w:styleId="Tretekstu">
    <w:name w:val="Tre懈 tekstu"/>
    <w:basedOn w:val="Domynie"/>
    <w:uiPriority w:val="99"/>
    <w:rsid w:val="00AD67A8"/>
    <w:pPr>
      <w:spacing w:after="120"/>
    </w:pPr>
  </w:style>
  <w:style w:type="paragraph" w:customStyle="1" w:styleId="Default">
    <w:name w:val="Default"/>
    <w:rsid w:val="009F5FE1"/>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rsid w:val="00EA6032"/>
    <w:rPr>
      <w:sz w:val="20"/>
      <w:szCs w:val="20"/>
    </w:rPr>
  </w:style>
  <w:style w:type="character" w:customStyle="1" w:styleId="TekstprzypisukocowegoZnak">
    <w:name w:val="Tekst przypisu końcowego Znak"/>
    <w:link w:val="Tekstprzypisukocowego"/>
    <w:uiPriority w:val="99"/>
    <w:locked/>
    <w:rsid w:val="00EA6032"/>
    <w:rPr>
      <w:rFonts w:cs="Times New Roman"/>
    </w:rPr>
  </w:style>
  <w:style w:type="character" w:styleId="Odwoanieprzypisukocowego">
    <w:name w:val="endnote reference"/>
    <w:uiPriority w:val="99"/>
    <w:rsid w:val="00EA6032"/>
    <w:rPr>
      <w:rFonts w:cs="Times New Roman"/>
      <w:vertAlign w:val="superscript"/>
    </w:rPr>
  </w:style>
  <w:style w:type="character" w:customStyle="1" w:styleId="TekstprzypisudolnegoZnak1">
    <w:name w:val="Tekst przypisu dolnego Znak1"/>
    <w:aliases w:val="Tekst przypisu dolnego-poligrafia Znak,Znak Znak Znak Znak,Podrozdział Znak,Tekst przypisu Znak, Znak Znak,Fodnotetekst Tegn1 Znak1,Fodnotetekst Tegn Tegn Znak1,Fodnotetekst Tegn2 Tegn Tegn Znak1,Znak Znak1"/>
    <w:locked/>
    <w:rsid w:val="006666E6"/>
    <w:rPr>
      <w:rFonts w:ascii="Times New Roman" w:hAnsi="Times New Roman"/>
    </w:rPr>
  </w:style>
  <w:style w:type="character" w:customStyle="1" w:styleId="AkapitzlistZnak">
    <w:name w:val="Akapit z listą Znak"/>
    <w:aliases w:val="Dot pt Znak,F5 List Paragraph Znak,List Paragraph1 Znak,Recommendation Znak,List Paragraph11 Znak,Akapit z listą1 Znak,Listaszerű bekezdés1 Znak,List Paragraph à moi Znak,Numbered Para 1 Znak,No Spacing1 Znak,Indicator Text Znak"/>
    <w:link w:val="Akapitzlist"/>
    <w:uiPriority w:val="34"/>
    <w:qFormat/>
    <w:rsid w:val="006666E6"/>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6666E6"/>
    <w:pPr>
      <w:spacing w:after="160" w:line="240" w:lineRule="exact"/>
      <w:jc w:val="both"/>
    </w:pPr>
    <w:rPr>
      <w:sz w:val="20"/>
      <w:szCs w:val="20"/>
      <w:vertAlign w:val="superscript"/>
    </w:rPr>
  </w:style>
  <w:style w:type="paragraph" w:customStyle="1" w:styleId="CM4">
    <w:name w:val="CM4"/>
    <w:basedOn w:val="Default"/>
    <w:next w:val="Default"/>
    <w:uiPriority w:val="99"/>
    <w:rsid w:val="006666E6"/>
    <w:rPr>
      <w:rFonts w:ascii="EUAlbertina" w:hAnsi="EUAlbertina"/>
      <w:color w:val="auto"/>
    </w:rPr>
  </w:style>
  <w:style w:type="character" w:styleId="Odwoaniedokomentarza">
    <w:name w:val="annotation reference"/>
    <w:uiPriority w:val="99"/>
    <w:semiHidden/>
    <w:unhideWhenUsed/>
    <w:rsid w:val="00B017DA"/>
    <w:rPr>
      <w:sz w:val="16"/>
      <w:szCs w:val="16"/>
    </w:rPr>
  </w:style>
  <w:style w:type="paragraph" w:styleId="Tekstkomentarza">
    <w:name w:val="annotation text"/>
    <w:basedOn w:val="Normalny"/>
    <w:link w:val="TekstkomentarzaZnak"/>
    <w:uiPriority w:val="99"/>
    <w:semiHidden/>
    <w:unhideWhenUsed/>
    <w:rsid w:val="00B017DA"/>
    <w:rPr>
      <w:sz w:val="20"/>
      <w:szCs w:val="20"/>
    </w:rPr>
  </w:style>
  <w:style w:type="character" w:customStyle="1" w:styleId="TekstkomentarzaZnak">
    <w:name w:val="Tekst komentarza Znak"/>
    <w:basedOn w:val="Domylnaczcionkaakapitu"/>
    <w:link w:val="Tekstkomentarza"/>
    <w:uiPriority w:val="99"/>
    <w:semiHidden/>
    <w:rsid w:val="00B017DA"/>
  </w:style>
  <w:style w:type="paragraph" w:styleId="Tematkomentarza">
    <w:name w:val="annotation subject"/>
    <w:basedOn w:val="Tekstkomentarza"/>
    <w:next w:val="Tekstkomentarza"/>
    <w:link w:val="TematkomentarzaZnak"/>
    <w:uiPriority w:val="99"/>
    <w:semiHidden/>
    <w:unhideWhenUsed/>
    <w:rsid w:val="00B017DA"/>
    <w:rPr>
      <w:b/>
      <w:bCs/>
    </w:rPr>
  </w:style>
  <w:style w:type="character" w:customStyle="1" w:styleId="TematkomentarzaZnak">
    <w:name w:val="Temat komentarza Znak"/>
    <w:link w:val="Tematkomentarza"/>
    <w:uiPriority w:val="99"/>
    <w:semiHidden/>
    <w:rsid w:val="00B017DA"/>
    <w:rPr>
      <w:b/>
      <w:bCs/>
    </w:rPr>
  </w:style>
  <w:style w:type="paragraph" w:styleId="NormalnyWeb">
    <w:name w:val="Normal (Web)"/>
    <w:basedOn w:val="Normalny"/>
    <w:uiPriority w:val="99"/>
    <w:semiHidden/>
    <w:unhideWhenUsed/>
    <w:rsid w:val="00225F4B"/>
    <w:pPr>
      <w:spacing w:before="100" w:beforeAutospacing="1" w:after="100" w:afterAutospacing="1"/>
    </w:pPr>
    <w:rPr>
      <w:rFonts w:ascii="Times New Roman" w:eastAsia="Times New Roman" w:hAnsi="Times New Roman"/>
    </w:rPr>
  </w:style>
  <w:style w:type="paragraph" w:customStyle="1" w:styleId="li">
    <w:name w:val="li"/>
    <w:basedOn w:val="Normalny"/>
    <w:rsid w:val="00D057EF"/>
    <w:pPr>
      <w:spacing w:before="100" w:beforeAutospacing="1" w:after="100" w:afterAutospacing="1"/>
    </w:pPr>
    <w:rPr>
      <w:rFonts w:ascii="Times New Roman" w:eastAsia="Times New Roman" w:hAnsi="Times New Roman"/>
    </w:rPr>
  </w:style>
  <w:style w:type="character" w:customStyle="1" w:styleId="num">
    <w:name w:val="num"/>
    <w:basedOn w:val="Domylnaczcionkaakapitu"/>
    <w:rsid w:val="00D057EF"/>
  </w:style>
  <w:style w:type="character" w:customStyle="1" w:styleId="footnotereference">
    <w:name w:val="footnotereference"/>
    <w:basedOn w:val="Domylnaczcionkaakapitu"/>
    <w:rsid w:val="00D057EF"/>
  </w:style>
  <w:style w:type="numbering" w:customStyle="1" w:styleId="Styl1">
    <w:name w:val="Styl1"/>
    <w:uiPriority w:val="99"/>
    <w:rsid w:val="009921EE"/>
    <w:pPr>
      <w:numPr>
        <w:numId w:val="36"/>
      </w:numPr>
    </w:pPr>
  </w:style>
  <w:style w:type="character" w:customStyle="1" w:styleId="UnresolvedMention">
    <w:name w:val="Unresolved Mention"/>
    <w:basedOn w:val="Domylnaczcionkaakapitu"/>
    <w:uiPriority w:val="99"/>
    <w:semiHidden/>
    <w:unhideWhenUsed/>
    <w:rsid w:val="00F3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4904">
      <w:bodyDiv w:val="1"/>
      <w:marLeft w:val="0"/>
      <w:marRight w:val="0"/>
      <w:marTop w:val="0"/>
      <w:marBottom w:val="0"/>
      <w:divBdr>
        <w:top w:val="none" w:sz="0" w:space="0" w:color="auto"/>
        <w:left w:val="none" w:sz="0" w:space="0" w:color="auto"/>
        <w:bottom w:val="none" w:sz="0" w:space="0" w:color="auto"/>
        <w:right w:val="none" w:sz="0" w:space="0" w:color="auto"/>
      </w:divBdr>
    </w:div>
    <w:div w:id="298457760">
      <w:bodyDiv w:val="1"/>
      <w:marLeft w:val="0"/>
      <w:marRight w:val="0"/>
      <w:marTop w:val="0"/>
      <w:marBottom w:val="0"/>
      <w:divBdr>
        <w:top w:val="none" w:sz="0" w:space="0" w:color="auto"/>
        <w:left w:val="none" w:sz="0" w:space="0" w:color="auto"/>
        <w:bottom w:val="none" w:sz="0" w:space="0" w:color="auto"/>
        <w:right w:val="none" w:sz="0" w:space="0" w:color="auto"/>
      </w:divBdr>
    </w:div>
    <w:div w:id="327906817">
      <w:bodyDiv w:val="1"/>
      <w:marLeft w:val="0"/>
      <w:marRight w:val="0"/>
      <w:marTop w:val="0"/>
      <w:marBottom w:val="0"/>
      <w:divBdr>
        <w:top w:val="none" w:sz="0" w:space="0" w:color="auto"/>
        <w:left w:val="none" w:sz="0" w:space="0" w:color="auto"/>
        <w:bottom w:val="none" w:sz="0" w:space="0" w:color="auto"/>
        <w:right w:val="none" w:sz="0" w:space="0" w:color="auto"/>
      </w:divBdr>
    </w:div>
    <w:div w:id="350255281">
      <w:marLeft w:val="0"/>
      <w:marRight w:val="0"/>
      <w:marTop w:val="0"/>
      <w:marBottom w:val="0"/>
      <w:divBdr>
        <w:top w:val="none" w:sz="0" w:space="0" w:color="auto"/>
        <w:left w:val="none" w:sz="0" w:space="0" w:color="auto"/>
        <w:bottom w:val="none" w:sz="0" w:space="0" w:color="auto"/>
        <w:right w:val="none" w:sz="0" w:space="0" w:color="auto"/>
      </w:divBdr>
      <w:divsChild>
        <w:div w:id="350255292">
          <w:marLeft w:val="0"/>
          <w:marRight w:val="0"/>
          <w:marTop w:val="0"/>
          <w:marBottom w:val="0"/>
          <w:divBdr>
            <w:top w:val="none" w:sz="0" w:space="0" w:color="auto"/>
            <w:left w:val="none" w:sz="0" w:space="0" w:color="auto"/>
            <w:bottom w:val="none" w:sz="0" w:space="0" w:color="auto"/>
            <w:right w:val="none" w:sz="0" w:space="0" w:color="auto"/>
          </w:divBdr>
        </w:div>
      </w:divsChild>
    </w:div>
    <w:div w:id="350255283">
      <w:marLeft w:val="0"/>
      <w:marRight w:val="0"/>
      <w:marTop w:val="0"/>
      <w:marBottom w:val="0"/>
      <w:divBdr>
        <w:top w:val="none" w:sz="0" w:space="0" w:color="auto"/>
        <w:left w:val="none" w:sz="0" w:space="0" w:color="auto"/>
        <w:bottom w:val="none" w:sz="0" w:space="0" w:color="auto"/>
        <w:right w:val="none" w:sz="0" w:space="0" w:color="auto"/>
      </w:divBdr>
      <w:divsChild>
        <w:div w:id="350255290">
          <w:marLeft w:val="0"/>
          <w:marRight w:val="0"/>
          <w:marTop w:val="0"/>
          <w:marBottom w:val="0"/>
          <w:divBdr>
            <w:top w:val="none" w:sz="0" w:space="0" w:color="auto"/>
            <w:left w:val="none" w:sz="0" w:space="0" w:color="auto"/>
            <w:bottom w:val="none" w:sz="0" w:space="0" w:color="auto"/>
            <w:right w:val="none" w:sz="0" w:space="0" w:color="auto"/>
          </w:divBdr>
        </w:div>
      </w:divsChild>
    </w:div>
    <w:div w:id="350255284">
      <w:marLeft w:val="0"/>
      <w:marRight w:val="0"/>
      <w:marTop w:val="0"/>
      <w:marBottom w:val="0"/>
      <w:divBdr>
        <w:top w:val="none" w:sz="0" w:space="0" w:color="auto"/>
        <w:left w:val="none" w:sz="0" w:space="0" w:color="auto"/>
        <w:bottom w:val="none" w:sz="0" w:space="0" w:color="auto"/>
        <w:right w:val="none" w:sz="0" w:space="0" w:color="auto"/>
      </w:divBdr>
      <w:divsChild>
        <w:div w:id="350255294">
          <w:marLeft w:val="0"/>
          <w:marRight w:val="0"/>
          <w:marTop w:val="0"/>
          <w:marBottom w:val="0"/>
          <w:divBdr>
            <w:top w:val="none" w:sz="0" w:space="0" w:color="auto"/>
            <w:left w:val="none" w:sz="0" w:space="0" w:color="auto"/>
            <w:bottom w:val="none" w:sz="0" w:space="0" w:color="auto"/>
            <w:right w:val="none" w:sz="0" w:space="0" w:color="auto"/>
          </w:divBdr>
        </w:div>
      </w:divsChild>
    </w:div>
    <w:div w:id="350255286">
      <w:marLeft w:val="0"/>
      <w:marRight w:val="0"/>
      <w:marTop w:val="0"/>
      <w:marBottom w:val="0"/>
      <w:divBdr>
        <w:top w:val="none" w:sz="0" w:space="0" w:color="auto"/>
        <w:left w:val="none" w:sz="0" w:space="0" w:color="auto"/>
        <w:bottom w:val="none" w:sz="0" w:space="0" w:color="auto"/>
        <w:right w:val="none" w:sz="0" w:space="0" w:color="auto"/>
      </w:divBdr>
      <w:divsChild>
        <w:div w:id="350255282">
          <w:marLeft w:val="0"/>
          <w:marRight w:val="0"/>
          <w:marTop w:val="0"/>
          <w:marBottom w:val="0"/>
          <w:divBdr>
            <w:top w:val="none" w:sz="0" w:space="0" w:color="auto"/>
            <w:left w:val="none" w:sz="0" w:space="0" w:color="auto"/>
            <w:bottom w:val="none" w:sz="0" w:space="0" w:color="auto"/>
            <w:right w:val="none" w:sz="0" w:space="0" w:color="auto"/>
          </w:divBdr>
        </w:div>
      </w:divsChild>
    </w:div>
    <w:div w:id="350255287">
      <w:marLeft w:val="0"/>
      <w:marRight w:val="0"/>
      <w:marTop w:val="0"/>
      <w:marBottom w:val="0"/>
      <w:divBdr>
        <w:top w:val="none" w:sz="0" w:space="0" w:color="auto"/>
        <w:left w:val="none" w:sz="0" w:space="0" w:color="auto"/>
        <w:bottom w:val="none" w:sz="0" w:space="0" w:color="auto"/>
        <w:right w:val="none" w:sz="0" w:space="0" w:color="auto"/>
      </w:divBdr>
      <w:divsChild>
        <w:div w:id="350255289">
          <w:marLeft w:val="0"/>
          <w:marRight w:val="0"/>
          <w:marTop w:val="0"/>
          <w:marBottom w:val="0"/>
          <w:divBdr>
            <w:top w:val="none" w:sz="0" w:space="0" w:color="auto"/>
            <w:left w:val="none" w:sz="0" w:space="0" w:color="auto"/>
            <w:bottom w:val="none" w:sz="0" w:space="0" w:color="auto"/>
            <w:right w:val="none" w:sz="0" w:space="0" w:color="auto"/>
          </w:divBdr>
        </w:div>
      </w:divsChild>
    </w:div>
    <w:div w:id="350255288">
      <w:marLeft w:val="0"/>
      <w:marRight w:val="0"/>
      <w:marTop w:val="0"/>
      <w:marBottom w:val="0"/>
      <w:divBdr>
        <w:top w:val="none" w:sz="0" w:space="0" w:color="auto"/>
        <w:left w:val="none" w:sz="0" w:space="0" w:color="auto"/>
        <w:bottom w:val="none" w:sz="0" w:space="0" w:color="auto"/>
        <w:right w:val="none" w:sz="0" w:space="0" w:color="auto"/>
      </w:divBdr>
      <w:divsChild>
        <w:div w:id="350255293">
          <w:marLeft w:val="0"/>
          <w:marRight w:val="0"/>
          <w:marTop w:val="0"/>
          <w:marBottom w:val="0"/>
          <w:divBdr>
            <w:top w:val="none" w:sz="0" w:space="0" w:color="auto"/>
            <w:left w:val="none" w:sz="0" w:space="0" w:color="auto"/>
            <w:bottom w:val="none" w:sz="0" w:space="0" w:color="auto"/>
            <w:right w:val="none" w:sz="0" w:space="0" w:color="auto"/>
          </w:divBdr>
        </w:div>
      </w:divsChild>
    </w:div>
    <w:div w:id="350255291">
      <w:marLeft w:val="0"/>
      <w:marRight w:val="0"/>
      <w:marTop w:val="0"/>
      <w:marBottom w:val="0"/>
      <w:divBdr>
        <w:top w:val="none" w:sz="0" w:space="0" w:color="auto"/>
        <w:left w:val="none" w:sz="0" w:space="0" w:color="auto"/>
        <w:bottom w:val="none" w:sz="0" w:space="0" w:color="auto"/>
        <w:right w:val="none" w:sz="0" w:space="0" w:color="auto"/>
      </w:divBdr>
      <w:divsChild>
        <w:div w:id="350255285">
          <w:marLeft w:val="0"/>
          <w:marRight w:val="0"/>
          <w:marTop w:val="0"/>
          <w:marBottom w:val="0"/>
          <w:divBdr>
            <w:top w:val="none" w:sz="0" w:space="0" w:color="auto"/>
            <w:left w:val="none" w:sz="0" w:space="0" w:color="auto"/>
            <w:bottom w:val="none" w:sz="0" w:space="0" w:color="auto"/>
            <w:right w:val="none" w:sz="0" w:space="0" w:color="auto"/>
          </w:divBdr>
        </w:div>
      </w:divsChild>
    </w:div>
    <w:div w:id="350255295">
      <w:marLeft w:val="0"/>
      <w:marRight w:val="0"/>
      <w:marTop w:val="0"/>
      <w:marBottom w:val="0"/>
      <w:divBdr>
        <w:top w:val="none" w:sz="0" w:space="0" w:color="auto"/>
        <w:left w:val="none" w:sz="0" w:space="0" w:color="auto"/>
        <w:bottom w:val="none" w:sz="0" w:space="0" w:color="auto"/>
        <w:right w:val="none" w:sz="0" w:space="0" w:color="auto"/>
      </w:divBdr>
    </w:div>
    <w:div w:id="410353302">
      <w:bodyDiv w:val="1"/>
      <w:marLeft w:val="0"/>
      <w:marRight w:val="0"/>
      <w:marTop w:val="0"/>
      <w:marBottom w:val="0"/>
      <w:divBdr>
        <w:top w:val="none" w:sz="0" w:space="0" w:color="auto"/>
        <w:left w:val="none" w:sz="0" w:space="0" w:color="auto"/>
        <w:bottom w:val="none" w:sz="0" w:space="0" w:color="auto"/>
        <w:right w:val="none" w:sz="0" w:space="0" w:color="auto"/>
      </w:divBdr>
    </w:div>
    <w:div w:id="496118431">
      <w:bodyDiv w:val="1"/>
      <w:marLeft w:val="0"/>
      <w:marRight w:val="0"/>
      <w:marTop w:val="0"/>
      <w:marBottom w:val="0"/>
      <w:divBdr>
        <w:top w:val="none" w:sz="0" w:space="0" w:color="auto"/>
        <w:left w:val="none" w:sz="0" w:space="0" w:color="auto"/>
        <w:bottom w:val="none" w:sz="0" w:space="0" w:color="auto"/>
        <w:right w:val="none" w:sz="0" w:space="0" w:color="auto"/>
      </w:divBdr>
    </w:div>
    <w:div w:id="1030490395">
      <w:bodyDiv w:val="1"/>
      <w:marLeft w:val="0"/>
      <w:marRight w:val="0"/>
      <w:marTop w:val="0"/>
      <w:marBottom w:val="0"/>
      <w:divBdr>
        <w:top w:val="none" w:sz="0" w:space="0" w:color="auto"/>
        <w:left w:val="none" w:sz="0" w:space="0" w:color="auto"/>
        <w:bottom w:val="none" w:sz="0" w:space="0" w:color="auto"/>
        <w:right w:val="none" w:sz="0" w:space="0" w:color="auto"/>
      </w:divBdr>
    </w:div>
    <w:div w:id="1171336193">
      <w:bodyDiv w:val="1"/>
      <w:marLeft w:val="0"/>
      <w:marRight w:val="0"/>
      <w:marTop w:val="0"/>
      <w:marBottom w:val="0"/>
      <w:divBdr>
        <w:top w:val="none" w:sz="0" w:space="0" w:color="auto"/>
        <w:left w:val="none" w:sz="0" w:space="0" w:color="auto"/>
        <w:bottom w:val="none" w:sz="0" w:space="0" w:color="auto"/>
        <w:right w:val="none" w:sz="0" w:space="0" w:color="auto"/>
      </w:divBdr>
    </w:div>
    <w:div w:id="1455948959">
      <w:bodyDiv w:val="1"/>
      <w:marLeft w:val="0"/>
      <w:marRight w:val="0"/>
      <w:marTop w:val="0"/>
      <w:marBottom w:val="0"/>
      <w:divBdr>
        <w:top w:val="none" w:sz="0" w:space="0" w:color="auto"/>
        <w:left w:val="none" w:sz="0" w:space="0" w:color="auto"/>
        <w:bottom w:val="none" w:sz="0" w:space="0" w:color="auto"/>
        <w:right w:val="none" w:sz="0" w:space="0" w:color="auto"/>
      </w:divBdr>
    </w:div>
    <w:div w:id="1530482772">
      <w:bodyDiv w:val="1"/>
      <w:marLeft w:val="0"/>
      <w:marRight w:val="0"/>
      <w:marTop w:val="0"/>
      <w:marBottom w:val="0"/>
      <w:divBdr>
        <w:top w:val="none" w:sz="0" w:space="0" w:color="auto"/>
        <w:left w:val="none" w:sz="0" w:space="0" w:color="auto"/>
        <w:bottom w:val="none" w:sz="0" w:space="0" w:color="auto"/>
        <w:right w:val="none" w:sz="0" w:space="0" w:color="auto"/>
      </w:divBdr>
    </w:div>
    <w:div w:id="1577857232">
      <w:bodyDiv w:val="1"/>
      <w:marLeft w:val="0"/>
      <w:marRight w:val="0"/>
      <w:marTop w:val="0"/>
      <w:marBottom w:val="0"/>
      <w:divBdr>
        <w:top w:val="none" w:sz="0" w:space="0" w:color="auto"/>
        <w:left w:val="none" w:sz="0" w:space="0" w:color="auto"/>
        <w:bottom w:val="none" w:sz="0" w:space="0" w:color="auto"/>
        <w:right w:val="none" w:sz="0" w:space="0" w:color="auto"/>
      </w:divBdr>
    </w:div>
    <w:div w:id="1643383151">
      <w:bodyDiv w:val="1"/>
      <w:marLeft w:val="0"/>
      <w:marRight w:val="0"/>
      <w:marTop w:val="0"/>
      <w:marBottom w:val="0"/>
      <w:divBdr>
        <w:top w:val="none" w:sz="0" w:space="0" w:color="auto"/>
        <w:left w:val="none" w:sz="0" w:space="0" w:color="auto"/>
        <w:bottom w:val="none" w:sz="0" w:space="0" w:color="auto"/>
        <w:right w:val="none" w:sz="0" w:space="0" w:color="auto"/>
      </w:divBdr>
    </w:div>
    <w:div w:id="18749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ysokienapiecie.pl/42076-skad-sie-wzial-nagly-kryzys-energetycz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7CE1-E604-4650-B9AA-A91D820A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12225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2022-01-10T12:16:00Z</dcterms:created>
  <dcterms:modified xsi:type="dcterms:W3CDTF">2022-01-10T12:16:00Z</dcterms:modified>
</cp:coreProperties>
</file>